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70" w:rsidRDefault="00593BFF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73719A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8" o:title=""/>
          </v:shape>
          <o:OLEObject Type="Embed" ProgID="Word.Document.8" ShapeID="Object 1" DrawAspect="Content" ObjectID="_1687348374" r:id="rId9"/>
        </w:object>
      </w:r>
    </w:p>
    <w:p w:rsidR="00041D8B" w:rsidRPr="00041D8B" w:rsidRDefault="00041D8B" w:rsidP="00041D8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41D8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41D8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41D8B" w:rsidRPr="00041D8B" w:rsidRDefault="00041D8B" w:rsidP="00041D8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41D8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41D8B" w:rsidRPr="00041D8B" w:rsidRDefault="00041D8B" w:rsidP="00041D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41D8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9122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41D8B" w:rsidRPr="00041D8B" w:rsidRDefault="00041D8B" w:rsidP="00041D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1D8B" w:rsidRPr="00041D8B" w:rsidRDefault="00041D8B" w:rsidP="00041D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1D8B" w:rsidRPr="00041D8B" w:rsidRDefault="00041D8B" w:rsidP="00041D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41D8B">
        <w:rPr>
          <w:rFonts w:ascii="Liberation Serif" w:hAnsi="Liberation Serif"/>
          <w:sz w:val="24"/>
        </w:rPr>
        <w:t>от___</w:t>
      </w:r>
      <w:r w:rsidR="0034373E">
        <w:rPr>
          <w:rFonts w:ascii="Liberation Serif" w:hAnsi="Liberation Serif"/>
          <w:sz w:val="24"/>
          <w:u w:val="single"/>
        </w:rPr>
        <w:t>08.07.2021</w:t>
      </w:r>
      <w:r w:rsidRPr="00041D8B">
        <w:rPr>
          <w:rFonts w:ascii="Liberation Serif" w:hAnsi="Liberation Serif"/>
          <w:sz w:val="24"/>
        </w:rPr>
        <w:t>___</w:t>
      </w:r>
      <w:proofErr w:type="gramStart"/>
      <w:r w:rsidRPr="00041D8B">
        <w:rPr>
          <w:rFonts w:ascii="Liberation Serif" w:hAnsi="Liberation Serif"/>
          <w:sz w:val="24"/>
        </w:rPr>
        <w:t>_  №</w:t>
      </w:r>
      <w:proofErr w:type="gramEnd"/>
      <w:r w:rsidRPr="00041D8B">
        <w:rPr>
          <w:rFonts w:ascii="Liberation Serif" w:hAnsi="Liberation Serif"/>
          <w:sz w:val="24"/>
        </w:rPr>
        <w:t xml:space="preserve">  ___</w:t>
      </w:r>
      <w:r w:rsidR="0034373E">
        <w:rPr>
          <w:rFonts w:ascii="Liberation Serif" w:hAnsi="Liberation Serif"/>
          <w:sz w:val="24"/>
          <w:u w:val="single"/>
        </w:rPr>
        <w:t>702-П</w:t>
      </w:r>
      <w:r w:rsidRPr="00041D8B">
        <w:rPr>
          <w:rFonts w:ascii="Liberation Serif" w:hAnsi="Liberation Serif"/>
          <w:sz w:val="24"/>
        </w:rPr>
        <w:t>____</w:t>
      </w:r>
    </w:p>
    <w:p w:rsidR="00041D8B" w:rsidRPr="00041D8B" w:rsidRDefault="00041D8B" w:rsidP="00041D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41D8B" w:rsidRPr="00041D8B" w:rsidRDefault="00041D8B" w:rsidP="00041D8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41D8B">
        <w:rPr>
          <w:rFonts w:ascii="Liberation Serif" w:hAnsi="Liberation Serif"/>
          <w:sz w:val="24"/>
          <w:szCs w:val="24"/>
        </w:rPr>
        <w:t>г. Заречный</w:t>
      </w:r>
    </w:p>
    <w:p w:rsidR="004E5070" w:rsidRDefault="004E5070">
      <w:pPr>
        <w:rPr>
          <w:rFonts w:ascii="Liberation Serif" w:hAnsi="Liberation Serif"/>
          <w:sz w:val="28"/>
          <w:szCs w:val="28"/>
        </w:rPr>
      </w:pPr>
    </w:p>
    <w:p w:rsidR="004E5070" w:rsidRDefault="004E5070">
      <w:pPr>
        <w:rPr>
          <w:rFonts w:ascii="Liberation Serif" w:hAnsi="Liberation Serif"/>
          <w:sz w:val="28"/>
          <w:szCs w:val="28"/>
        </w:rPr>
      </w:pPr>
    </w:p>
    <w:p w:rsidR="004E5070" w:rsidRDefault="00593BFF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Об одобрении прогноза социально-экономического развития городского округа Заречный на среднесрочный период 2022-2024 годов</w:t>
      </w:r>
    </w:p>
    <w:p w:rsidR="004E5070" w:rsidRDefault="004E5070">
      <w:pPr>
        <w:widowControl/>
        <w:ind w:left="142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4E5070" w:rsidRDefault="004E5070">
      <w:pPr>
        <w:ind w:left="284"/>
        <w:rPr>
          <w:rFonts w:ascii="Liberation Serif" w:hAnsi="Liberation Serif"/>
          <w:sz w:val="28"/>
          <w:szCs w:val="28"/>
        </w:rPr>
      </w:pPr>
    </w:p>
    <w:p w:rsidR="004E5070" w:rsidRDefault="00593BFF">
      <w:pPr>
        <w:pStyle w:val="a4"/>
        <w:ind w:firstLine="720"/>
        <w:jc w:val="both"/>
      </w:pPr>
      <w:r>
        <w:rPr>
          <w:rFonts w:ascii="Liberation Serif" w:hAnsi="Liberation Serif"/>
          <w:szCs w:val="28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постановлением администрации городского </w:t>
      </w:r>
      <w:r w:rsidR="00041D8B">
        <w:rPr>
          <w:rFonts w:ascii="Liberation Serif" w:hAnsi="Liberation Serif"/>
          <w:szCs w:val="28"/>
        </w:rPr>
        <w:t>округа Заречный от 28.12.2015 № </w:t>
      </w:r>
      <w:r>
        <w:rPr>
          <w:rFonts w:ascii="Liberation Serif" w:hAnsi="Liberation Serif"/>
          <w:szCs w:val="28"/>
        </w:rPr>
        <w:t>1723-П «О порядке разработки прогноза социально-экономического развития городского округа Заречный»</w:t>
      </w:r>
      <w:r>
        <w:rPr>
          <w:rFonts w:ascii="Liberation Serif" w:hAnsi="Liberation Serif"/>
          <w:spacing w:val="2"/>
          <w:szCs w:val="28"/>
        </w:rPr>
        <w:t xml:space="preserve">, </w:t>
      </w:r>
      <w:r>
        <w:rPr>
          <w:rFonts w:ascii="Liberation Serif" w:hAnsi="Liberation Serif"/>
          <w:szCs w:val="28"/>
        </w:rPr>
        <w:t xml:space="preserve">на основании </w:t>
      </w:r>
      <w:hyperlink r:id="rId10" w:tooltip="Решение Думы городского округа Заречный от 07.02.2013 N 1-Р (ред. от 29.10.2015) " w:history="1">
        <w:r>
          <w:rPr>
            <w:rFonts w:ascii="Liberation Serif" w:hAnsi="Liberation Serif"/>
            <w:szCs w:val="28"/>
          </w:rPr>
          <w:t>ст. ст. 28</w:t>
        </w:r>
      </w:hyperlink>
      <w:r>
        <w:rPr>
          <w:rFonts w:ascii="Liberation Serif" w:hAnsi="Liberation Serif"/>
          <w:szCs w:val="28"/>
        </w:rPr>
        <w:t xml:space="preserve">, </w:t>
      </w:r>
      <w:hyperlink r:id="rId11" w:tooltip="Решение Думы городского округа Заречный от 07.02.2013 N 1-Р (ред. от 29.10.2015) " w:history="1">
        <w:r>
          <w:rPr>
            <w:rFonts w:ascii="Liberation Serif" w:hAnsi="Liberation Serif"/>
            <w:szCs w:val="28"/>
          </w:rPr>
          <w:t>31</w:t>
        </w:r>
      </w:hyperlink>
      <w:r>
        <w:rPr>
          <w:rFonts w:ascii="Liberation Serif" w:hAnsi="Liberation Serif"/>
          <w:szCs w:val="28"/>
        </w:rPr>
        <w:t xml:space="preserve"> Устава городского округа Заречный администрация городского округа Заречный</w:t>
      </w:r>
    </w:p>
    <w:p w:rsidR="004E5070" w:rsidRDefault="00593BF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E5070" w:rsidRDefault="00593BFF">
      <w:pPr>
        <w:pStyle w:val="ConsPlusNormal"/>
        <w:numPr>
          <w:ilvl w:val="0"/>
          <w:numId w:val="1"/>
        </w:numPr>
        <w:ind w:left="0" w:firstLine="709"/>
        <w:jc w:val="both"/>
      </w:pPr>
      <w:bookmarkStart w:id="0" w:name="_Hlk21074645"/>
      <w:r>
        <w:rPr>
          <w:rFonts w:ascii="Liberation Serif" w:hAnsi="Liberation Serif"/>
          <w:sz w:val="28"/>
          <w:szCs w:val="28"/>
        </w:rPr>
        <w:t>Одобрить прогноз социально-экономического развития горо</w:t>
      </w:r>
      <w:r>
        <w:rPr>
          <w:rFonts w:ascii="Liberation Serif" w:hAnsi="Liberation Serif" w:cs="Times New Roman"/>
          <w:spacing w:val="2"/>
          <w:sz w:val="28"/>
          <w:szCs w:val="28"/>
        </w:rPr>
        <w:t>дского округа Заречный на среднесрочный период 2022-2024 годов (прилагается)</w:t>
      </w:r>
      <w:bookmarkEnd w:id="0"/>
      <w:r>
        <w:rPr>
          <w:rFonts w:ascii="Liberation Serif" w:hAnsi="Liberation Serif" w:cs="Times New Roman"/>
          <w:sz w:val="28"/>
          <w:szCs w:val="28"/>
        </w:rPr>
        <w:t>.</w:t>
      </w:r>
    </w:p>
    <w:p w:rsidR="004E5070" w:rsidRDefault="00593BFF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Финансовому управлению администрации </w:t>
      </w:r>
      <w:r>
        <w:rPr>
          <w:rFonts w:ascii="Liberation Serif" w:hAnsi="Liberation Serif"/>
          <w:sz w:val="28"/>
          <w:szCs w:val="28"/>
        </w:rPr>
        <w:t>горо</w:t>
      </w:r>
      <w:r>
        <w:rPr>
          <w:rFonts w:ascii="Liberation Serif" w:hAnsi="Liberation Serif" w:cs="Times New Roman"/>
          <w:spacing w:val="2"/>
          <w:sz w:val="28"/>
          <w:szCs w:val="28"/>
        </w:rPr>
        <w:t>дского округа Заречный</w:t>
      </w:r>
      <w:r>
        <w:rPr>
          <w:rFonts w:ascii="Liberation Serif" w:hAnsi="Liberation Serif" w:cs="Times New Roman"/>
          <w:sz w:val="28"/>
          <w:szCs w:val="28"/>
        </w:rPr>
        <w:t xml:space="preserve"> (О.Г. Соснова) использовать показатели </w:t>
      </w:r>
      <w:r>
        <w:rPr>
          <w:rFonts w:ascii="Liberation Serif" w:hAnsi="Liberation Serif"/>
          <w:sz w:val="28"/>
          <w:szCs w:val="28"/>
        </w:rPr>
        <w:t>прогноза социально-экономического развития горо</w:t>
      </w:r>
      <w:r>
        <w:rPr>
          <w:rFonts w:ascii="Liberation Serif" w:hAnsi="Liberation Serif" w:cs="Times New Roman"/>
          <w:spacing w:val="2"/>
          <w:sz w:val="28"/>
          <w:szCs w:val="28"/>
        </w:rPr>
        <w:t>дского округа Заречный на среднесрочный период 2022-2024 годов при составлении проекта бюджета городского округа Заречный на 2022 год и плановый период 2023-2024 годов.</w:t>
      </w:r>
    </w:p>
    <w:p w:rsidR="004E5070" w:rsidRDefault="00593BFF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Сурину С.М.</w:t>
      </w:r>
    </w:p>
    <w:p w:rsidR="004E5070" w:rsidRDefault="00593BFF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городского округа Заречный (</w:t>
      </w:r>
      <w:hyperlink r:id="rId12" w:history="1">
        <w:r>
          <w:rPr>
            <w:rStyle w:val="a8"/>
            <w:rFonts w:ascii="Liberation Serif" w:hAnsi="Liberation Serif" w:cs="Times New Roman"/>
            <w:color w:val="000000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Times New Roman"/>
          <w:sz w:val="28"/>
          <w:szCs w:val="28"/>
        </w:rPr>
        <w:t>).</w:t>
      </w:r>
    </w:p>
    <w:p w:rsidR="004E5070" w:rsidRDefault="004E5070">
      <w:pPr>
        <w:rPr>
          <w:rFonts w:ascii="Liberation Serif" w:hAnsi="Liberation Serif"/>
          <w:sz w:val="28"/>
          <w:szCs w:val="28"/>
        </w:rPr>
      </w:pPr>
    </w:p>
    <w:p w:rsidR="004E5070" w:rsidRDefault="004E5070">
      <w:pPr>
        <w:rPr>
          <w:rFonts w:ascii="Liberation Serif" w:hAnsi="Liberation Serif"/>
          <w:sz w:val="28"/>
          <w:szCs w:val="28"/>
        </w:rPr>
      </w:pPr>
    </w:p>
    <w:p w:rsidR="00041D8B" w:rsidRPr="00223828" w:rsidRDefault="00041D8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041D8B" w:rsidRPr="00223828" w:rsidRDefault="00041D8B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41D8B" w:rsidRDefault="00041D8B">
      <w:pPr>
        <w:rPr>
          <w:rFonts w:ascii="Liberation Serif" w:hAnsi="Liberation Serif"/>
          <w:sz w:val="28"/>
          <w:szCs w:val="28"/>
        </w:rPr>
      </w:pPr>
    </w:p>
    <w:p w:rsidR="004E5070" w:rsidRDefault="004E5070">
      <w:pPr>
        <w:rPr>
          <w:rFonts w:ascii="Liberation Serif" w:hAnsi="Liberation Serif"/>
          <w:sz w:val="28"/>
          <w:szCs w:val="28"/>
        </w:rPr>
        <w:sectPr w:rsidR="004E5070" w:rsidSect="00041D8B">
          <w:headerReference w:type="default" r:id="rId13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4E5070" w:rsidRDefault="00593BFF">
      <w:pPr>
        <w:tabs>
          <w:tab w:val="left" w:pos="5387"/>
        </w:tabs>
        <w:ind w:left="1020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4E5070" w:rsidRDefault="00593BFF">
      <w:pPr>
        <w:tabs>
          <w:tab w:val="left" w:pos="5387"/>
        </w:tabs>
        <w:ind w:left="1020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4E5070" w:rsidRDefault="00593BFF">
      <w:pPr>
        <w:tabs>
          <w:tab w:val="left" w:pos="5387"/>
        </w:tabs>
        <w:ind w:left="1020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города Заречного</w:t>
      </w:r>
    </w:p>
    <w:p w:rsidR="00041D8B" w:rsidRDefault="00041D8B">
      <w:pPr>
        <w:tabs>
          <w:tab w:val="left" w:pos="5387"/>
        </w:tabs>
        <w:ind w:left="10206"/>
        <w:rPr>
          <w:rFonts w:ascii="Liberation Serif" w:hAnsi="Liberation Serif"/>
          <w:sz w:val="26"/>
          <w:szCs w:val="26"/>
        </w:rPr>
      </w:pPr>
      <w:r w:rsidRPr="00041D8B">
        <w:rPr>
          <w:rFonts w:ascii="Liberation Serif" w:hAnsi="Liberation Serif"/>
          <w:sz w:val="26"/>
          <w:szCs w:val="26"/>
        </w:rPr>
        <w:t>от___</w:t>
      </w:r>
      <w:r w:rsidR="0034373E">
        <w:rPr>
          <w:rFonts w:ascii="Liberation Serif" w:hAnsi="Liberation Serif"/>
          <w:sz w:val="26"/>
          <w:szCs w:val="26"/>
          <w:u w:val="single"/>
        </w:rPr>
        <w:t>08.07.2021</w:t>
      </w:r>
      <w:r w:rsidRPr="00041D8B">
        <w:rPr>
          <w:rFonts w:ascii="Liberation Serif" w:hAnsi="Liberation Serif"/>
          <w:sz w:val="26"/>
          <w:szCs w:val="26"/>
        </w:rPr>
        <w:t>_</w:t>
      </w:r>
      <w:proofErr w:type="gramStart"/>
      <w:r w:rsidRPr="00041D8B">
        <w:rPr>
          <w:rFonts w:ascii="Liberation Serif" w:hAnsi="Liberation Serif"/>
          <w:sz w:val="26"/>
          <w:szCs w:val="26"/>
        </w:rPr>
        <w:t>_  №</w:t>
      </w:r>
      <w:proofErr w:type="gramEnd"/>
      <w:r w:rsidRPr="00041D8B">
        <w:rPr>
          <w:rFonts w:ascii="Liberation Serif" w:hAnsi="Liberation Serif"/>
          <w:sz w:val="26"/>
          <w:szCs w:val="26"/>
        </w:rPr>
        <w:t xml:space="preserve">  __</w:t>
      </w:r>
      <w:r w:rsidR="0034373E">
        <w:rPr>
          <w:rFonts w:ascii="Liberation Serif" w:hAnsi="Liberation Serif"/>
          <w:sz w:val="26"/>
          <w:szCs w:val="26"/>
          <w:u w:val="single"/>
        </w:rPr>
        <w:t>702-П</w:t>
      </w:r>
      <w:r w:rsidRPr="00041D8B">
        <w:rPr>
          <w:rFonts w:ascii="Liberation Serif" w:hAnsi="Liberation Serif"/>
          <w:sz w:val="26"/>
          <w:szCs w:val="26"/>
        </w:rPr>
        <w:t xml:space="preserve">___ </w:t>
      </w:r>
    </w:p>
    <w:p w:rsidR="004E5070" w:rsidRDefault="00593BFF">
      <w:pPr>
        <w:tabs>
          <w:tab w:val="left" w:pos="5387"/>
        </w:tabs>
        <w:ind w:left="10206"/>
      </w:pPr>
      <w:r>
        <w:rPr>
          <w:rFonts w:ascii="Liberation Serif" w:hAnsi="Liberation Serif"/>
          <w:sz w:val="26"/>
          <w:szCs w:val="26"/>
        </w:rPr>
        <w:t xml:space="preserve">«Об одобрении прогноза социально-экономического развития </w:t>
      </w:r>
      <w:bookmarkStart w:id="1" w:name="_Hlk33711553"/>
      <w:r>
        <w:rPr>
          <w:rFonts w:ascii="Liberation Serif" w:hAnsi="Liberation Serif"/>
          <w:spacing w:val="2"/>
          <w:sz w:val="26"/>
          <w:szCs w:val="26"/>
        </w:rPr>
        <w:t>городского округа Заречный на среднесрочный период 2022-2024 годов</w:t>
      </w:r>
      <w:bookmarkEnd w:id="1"/>
      <w:r>
        <w:rPr>
          <w:rFonts w:ascii="Liberation Serif" w:hAnsi="Liberation Serif"/>
          <w:sz w:val="26"/>
          <w:szCs w:val="26"/>
        </w:rPr>
        <w:t>»</w:t>
      </w:r>
    </w:p>
    <w:p w:rsidR="004E5070" w:rsidRDefault="004E5070">
      <w:pPr>
        <w:jc w:val="center"/>
        <w:rPr>
          <w:rFonts w:ascii="Liberation Serif" w:hAnsi="Liberation Serif"/>
          <w:sz w:val="26"/>
          <w:szCs w:val="26"/>
        </w:rPr>
      </w:pPr>
    </w:p>
    <w:p w:rsidR="004E5070" w:rsidRDefault="004E5070">
      <w:pPr>
        <w:jc w:val="center"/>
        <w:rPr>
          <w:rFonts w:ascii="Liberation Serif" w:hAnsi="Liberation Serif"/>
          <w:sz w:val="26"/>
          <w:szCs w:val="26"/>
        </w:rPr>
      </w:pPr>
    </w:p>
    <w:p w:rsidR="004E5070" w:rsidRDefault="00593BFF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ПРОГНОЗ</w:t>
      </w:r>
    </w:p>
    <w:p w:rsidR="004E5070" w:rsidRDefault="00593BFF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социально-экономического развития городского округа Заре</w:t>
      </w:r>
      <w:bookmarkStart w:id="2" w:name="_GoBack"/>
      <w:bookmarkEnd w:id="2"/>
      <w:r>
        <w:rPr>
          <w:rFonts w:ascii="Liberation Serif" w:hAnsi="Liberation Serif"/>
          <w:b/>
          <w:sz w:val="26"/>
          <w:szCs w:val="26"/>
        </w:rPr>
        <w:t>чный</w:t>
      </w:r>
    </w:p>
    <w:p w:rsidR="004E5070" w:rsidRDefault="00593BFF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на среднесрочный период 2022-2024 годов</w:t>
      </w:r>
    </w:p>
    <w:p w:rsidR="004E5070" w:rsidRDefault="004E5070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4644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0"/>
        <w:gridCol w:w="1555"/>
        <w:gridCol w:w="1531"/>
        <w:gridCol w:w="1418"/>
        <w:gridCol w:w="1417"/>
        <w:gridCol w:w="1418"/>
        <w:gridCol w:w="1445"/>
      </w:tblGrid>
      <w:tr w:rsidR="004E5070">
        <w:trPr>
          <w:trHeight w:val="327"/>
        </w:trPr>
        <w:tc>
          <w:tcPr>
            <w:tcW w:w="5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Оценка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Прогноз</w:t>
            </w:r>
          </w:p>
        </w:tc>
      </w:tr>
      <w:tr w:rsidR="004E5070">
        <w:trPr>
          <w:trHeight w:val="327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2023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2024</w:t>
            </w:r>
          </w:p>
        </w:tc>
      </w:tr>
      <w:tr w:rsidR="004E5070">
        <w:trPr>
          <w:trHeight w:val="521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1.Оборот организаций (по полному кругу) по видам экономической деятельности, всего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млн. руб.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73 408,3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74 127,4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73 241,6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71 853,4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77 009,1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97,23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100,98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98,81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98,10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107,18</w:t>
            </w:r>
          </w:p>
        </w:tc>
      </w:tr>
      <w:tr w:rsidR="004E5070">
        <w:trPr>
          <w:trHeight w:val="283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315"/>
        </w:trPr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4E5070">
        <w:trPr>
          <w:trHeight w:val="315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158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1.1. Добыча полезных ископаемых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млн. руб.</w:t>
            </w:r>
          </w:p>
        </w:tc>
        <w:tc>
          <w:tcPr>
            <w:tcW w:w="722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</w:pPr>
            <w:r>
              <w:rPr>
                <w:rFonts w:ascii="Liberation Serif" w:hAnsi="Liberation Serif"/>
                <w:szCs w:val="24"/>
              </w:rPr>
              <w:t>Данные не публикуются</w:t>
            </w:r>
            <w:r>
              <w:rPr>
                <w:rFonts w:ascii="Liberation Serif" w:hAnsi="Liberation Serif"/>
              </w:rPr>
              <w:t xml:space="preserve"> в соответствии с требованиями Федерального закона от 29.11.07 №282-ФЗ «Об официальном статистическом учете и системе государственной статистики в Российской Федерации» (ст.4 п.5; ст.9 ч.1)</w:t>
            </w:r>
          </w:p>
        </w:tc>
      </w:tr>
      <w:tr w:rsidR="004E5070">
        <w:trPr>
          <w:trHeight w:val="534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ind w:firstLine="158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170,01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119,84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105,66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105,55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105,84</w:t>
            </w:r>
          </w:p>
        </w:tc>
      </w:tr>
      <w:tr w:rsidR="004E5070">
        <w:trPr>
          <w:trHeight w:val="488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158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1.2. Обрабатывающие производства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млн. руб.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3 333,3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3 781,9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3 969,4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4 239,6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4 532,6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120,75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113,46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104,96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106,81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106,91</w:t>
            </w:r>
          </w:p>
        </w:tc>
      </w:tr>
      <w:tr w:rsidR="004E5070">
        <w:trPr>
          <w:trHeight w:val="283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399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1.3. Обеспечение электрической энергией, газом и паром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млн. руб.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50 198,0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49 445,3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47 319,5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45 416,4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49 648,0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96,69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98,50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95,70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95,98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109,32</w:t>
            </w:r>
          </w:p>
        </w:tc>
      </w:tr>
      <w:tr w:rsidR="004E5070">
        <w:trPr>
          <w:trHeight w:val="283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283"/>
        </w:trPr>
        <w:tc>
          <w:tcPr>
            <w:tcW w:w="5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Оценка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</w:pPr>
            <w:r>
              <w:rPr>
                <w:rFonts w:ascii="Liberation Serif" w:hAnsi="Liberation Serif"/>
                <w:b/>
                <w:bCs/>
                <w:szCs w:val="24"/>
              </w:rPr>
              <w:t>Прогноз</w:t>
            </w:r>
          </w:p>
        </w:tc>
      </w:tr>
      <w:tr w:rsidR="004E5070">
        <w:trPr>
          <w:trHeight w:val="283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2023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2024</w:t>
            </w:r>
          </w:p>
        </w:tc>
      </w:tr>
      <w:tr w:rsidR="004E5070">
        <w:trPr>
          <w:trHeight w:val="315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1.4. Сельское, лесное хозяйство, охота, рыболовство и рыбоводство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млн. руб.</w:t>
            </w:r>
          </w:p>
        </w:tc>
        <w:tc>
          <w:tcPr>
            <w:tcW w:w="722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</w:pPr>
            <w:r>
              <w:rPr>
                <w:rFonts w:ascii="Liberation Serif" w:hAnsi="Liberation Serif"/>
                <w:szCs w:val="24"/>
              </w:rPr>
              <w:t>Данные не публикуются</w:t>
            </w:r>
            <w:r>
              <w:rPr>
                <w:rFonts w:ascii="Liberation Serif" w:hAnsi="Liberation Serif"/>
              </w:rPr>
              <w:t xml:space="preserve"> в соответствии с требованиями Федерального закона от 29.11.07 №282-ФЗ «Об официальном статистическом учете и системе государственной статистики в Российской Федерации» (ст.4 п.5; ст.9 ч.1)</w:t>
            </w:r>
          </w:p>
        </w:tc>
      </w:tr>
      <w:tr w:rsidR="004E5070">
        <w:trPr>
          <w:trHeight w:val="697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ind w:firstLine="20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98,74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97,15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100,00</w:t>
            </w:r>
          </w:p>
        </w:tc>
      </w:tr>
      <w:tr w:rsidR="004E5070">
        <w:trPr>
          <w:trHeight w:val="481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2. Объем инвестиций в основной капитал за счет всех источников финансирования, всего 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млн.руб</w:t>
            </w:r>
            <w:proofErr w:type="spellEnd"/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2 477,1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2 016,1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2 156,4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2 347,1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 525,6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113,50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81,39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106,96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108,84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22,39</w:t>
            </w:r>
          </w:p>
        </w:tc>
      </w:tr>
      <w:tr w:rsidR="004E5070">
        <w:trPr>
          <w:trHeight w:val="283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510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 Оборот розничной торговли в ценах соответствующего периода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млн. руб.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4 105,4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4 294,8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4 417,9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4 539,4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4 664,4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72,83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104,61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102,87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102,75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102,75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541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 Оборот общественного питания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млн.руб</w:t>
            </w:r>
            <w:proofErr w:type="spellEnd"/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218,6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224,6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231,2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238,1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32,43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246,73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102,74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102,94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102,98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403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5. Прибыль (убыток) - сальдо по полному кругу организаций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млн.руб</w:t>
            </w:r>
            <w:proofErr w:type="spellEnd"/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809,9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791,3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799,2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823,2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842,9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145,14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97,70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103,00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102,39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545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6. Оплата труда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млн.руб</w:t>
            </w:r>
            <w:proofErr w:type="spellEnd"/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6 557,9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6 935,5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7 279,6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7 570,7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7 873,6</w:t>
            </w:r>
          </w:p>
        </w:tc>
      </w:tr>
      <w:tr w:rsidR="004E5070">
        <w:trPr>
          <w:trHeight w:val="600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104,82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105,76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104,00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104,00</w:t>
            </w:r>
          </w:p>
        </w:tc>
      </w:tr>
      <w:tr w:rsidR="004E5070">
        <w:trPr>
          <w:trHeight w:val="633"/>
        </w:trPr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7. Численность постоянного населения муниципального образования (на начало года)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человек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31 269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31 500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31 470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31 445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31 415</w:t>
            </w:r>
          </w:p>
        </w:tc>
      </w:tr>
      <w:tr w:rsidR="004E5070">
        <w:trPr>
          <w:trHeight w:val="698"/>
        </w:trPr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8. Численность населения в трудоспособном возрасте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человек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17 605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18 158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18 468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18 761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18 567</w:t>
            </w:r>
          </w:p>
        </w:tc>
      </w:tr>
      <w:tr w:rsidR="004E5070">
        <w:trPr>
          <w:trHeight w:val="529"/>
        </w:trPr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9. Численность занятых в экономике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человек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12 767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12 993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13 074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13 094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13 101</w:t>
            </w:r>
          </w:p>
        </w:tc>
      </w:tr>
      <w:tr w:rsidR="004E5070">
        <w:trPr>
          <w:trHeight w:val="368"/>
        </w:trPr>
        <w:tc>
          <w:tcPr>
            <w:tcW w:w="5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Оценка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</w:pPr>
            <w:r>
              <w:rPr>
                <w:rFonts w:ascii="Liberation Serif" w:hAnsi="Liberation Serif"/>
                <w:b/>
                <w:bCs/>
                <w:szCs w:val="24"/>
              </w:rPr>
              <w:t>Прогноз</w:t>
            </w:r>
          </w:p>
        </w:tc>
      </w:tr>
      <w:tr w:rsidR="004E5070">
        <w:trPr>
          <w:trHeight w:val="288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b/>
                <w:bCs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2023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4"/>
              </w:rPr>
              <w:t>2024</w:t>
            </w:r>
          </w:p>
        </w:tc>
      </w:tr>
      <w:tr w:rsidR="004E5070">
        <w:trPr>
          <w:trHeight w:val="544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10. Уровень официально зарегистрированной безработицы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% к экономически активному населению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3,73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2,13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1,80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1,40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1,00</w:t>
            </w:r>
          </w:p>
        </w:tc>
      </w:tr>
      <w:tr w:rsidR="004E5070">
        <w:trPr>
          <w:trHeight w:val="476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327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11. Коэффициент рождаемости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человек на 1000 человек населения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10,60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10,54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10,42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10,36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10,34</w:t>
            </w:r>
          </w:p>
        </w:tc>
      </w:tr>
      <w:tr w:rsidR="004E5070">
        <w:trPr>
          <w:trHeight w:val="389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540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327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12. Ввод в эксплуатацию жилых домов за счет всех источников финансирования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тыс.кв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. мет- ров общей площади 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23,95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19,5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</w:t>
            </w:r>
          </w:p>
        </w:tc>
      </w:tr>
      <w:tr w:rsidR="004E5070">
        <w:trPr>
          <w:trHeight w:val="544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327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107,40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81,42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102,56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105,00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104,76</w:t>
            </w:r>
          </w:p>
        </w:tc>
      </w:tr>
      <w:tr w:rsidR="004E5070">
        <w:trPr>
          <w:trHeight w:val="327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327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13. Общая площадь, введенных жилых домов приходящаяся на одного жителя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кв.метров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на человека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0,77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0,62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0,64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0,67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0,70</w:t>
            </w:r>
          </w:p>
        </w:tc>
      </w:tr>
      <w:tr w:rsidR="004E5070">
        <w:trPr>
          <w:trHeight w:val="327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544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14. Денежные доходы населения, из них: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млн. руб.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9 303,3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9 760,7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10 208,9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10 613,7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11 034,6</w:t>
            </w:r>
          </w:p>
        </w:tc>
      </w:tr>
      <w:tr w:rsidR="004E5070">
        <w:trPr>
          <w:trHeight w:val="544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103,80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104,60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104,00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104,00</w:t>
            </w:r>
          </w:p>
        </w:tc>
      </w:tr>
      <w:tr w:rsidR="004E5070">
        <w:trPr>
          <w:trHeight w:val="327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15. Среднемесячная номинальная начисленная заработная плата одного работника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рублей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56 530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60 257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63 270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65 801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68 433</w:t>
            </w:r>
          </w:p>
        </w:tc>
      </w:tr>
      <w:tr w:rsidR="004E5070">
        <w:trPr>
          <w:trHeight w:val="327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107,10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106,00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104,00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104,00</w:t>
            </w:r>
          </w:p>
        </w:tc>
      </w:tr>
      <w:tr w:rsidR="004E5070">
        <w:trPr>
          <w:trHeight w:val="544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E5070">
        <w:trPr>
          <w:trHeight w:val="360"/>
        </w:trPr>
        <w:tc>
          <w:tcPr>
            <w:tcW w:w="5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ind w:firstLine="20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16. Среднедушевые денежные доходы (в месяц)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руб</w:t>
            </w:r>
            <w:proofErr w:type="spellEnd"/>
            <w:r>
              <w:rPr>
                <w:rFonts w:ascii="Liberation Serif" w:hAnsi="Liberation Serif"/>
                <w:szCs w:val="24"/>
              </w:rPr>
              <w:t>/чел.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24 702,40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25 834,30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27 044,2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28 141,00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29 284,60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% к </w:t>
            </w:r>
            <w:proofErr w:type="spellStart"/>
            <w:r>
              <w:rPr>
                <w:rFonts w:ascii="Liberation Serif" w:hAnsi="Liberation Serif"/>
                <w:szCs w:val="24"/>
              </w:rPr>
              <w:t>предыду-щему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году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103,42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104,58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104,68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104,06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593BF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104,06</w:t>
            </w:r>
          </w:p>
        </w:tc>
      </w:tr>
      <w:tr w:rsidR="004E5070">
        <w:trPr>
          <w:trHeight w:val="315"/>
        </w:trPr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70" w:rsidRDefault="004E5070">
            <w:pPr>
              <w:rPr>
                <w:rFonts w:ascii="Liberation Serif" w:hAnsi="Liberation Serif"/>
                <w:szCs w:val="24"/>
              </w:rPr>
            </w:pPr>
          </w:p>
        </w:tc>
      </w:tr>
    </w:tbl>
    <w:p w:rsidR="004E5070" w:rsidRDefault="00593BFF">
      <w:pPr>
        <w:sectPr w:rsidR="004E5070">
          <w:headerReference w:type="default" r:id="rId14"/>
          <w:pgSz w:w="16840" w:h="11907" w:orient="landscape"/>
          <w:pgMar w:top="1418" w:right="567" w:bottom="567" w:left="1134" w:header="720" w:footer="720" w:gutter="0"/>
          <w:cols w:space="720"/>
        </w:sectPr>
      </w:pPr>
      <w:r>
        <w:rPr>
          <w:rFonts w:ascii="Liberation Serif" w:hAnsi="Liberation Serif"/>
          <w:szCs w:val="24"/>
        </w:rPr>
        <w:t>Примечание. К прогнозу социально-экономического развития городского округа Заречный на среднесрочный период 2022-2024 годов прилагается пояснительная записка</w:t>
      </w:r>
    </w:p>
    <w:p w:rsidR="004E5070" w:rsidRDefault="00593BFF">
      <w:pPr>
        <w:ind w:left="5245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4E5070" w:rsidRDefault="00593BFF">
      <w:pPr>
        <w:ind w:left="5245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прогнозу социально-экономического</w:t>
      </w:r>
    </w:p>
    <w:p w:rsidR="004E5070" w:rsidRDefault="00593BFF">
      <w:pPr>
        <w:ind w:left="5245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развития городского округа Заречный</w:t>
      </w:r>
    </w:p>
    <w:p w:rsidR="004E5070" w:rsidRDefault="00593BFF">
      <w:pPr>
        <w:ind w:left="5245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среднесрочный период</w:t>
      </w:r>
    </w:p>
    <w:p w:rsidR="004E5070" w:rsidRDefault="00593BFF">
      <w:pPr>
        <w:ind w:left="5245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2022-2024 годов</w:t>
      </w:r>
    </w:p>
    <w:p w:rsidR="004E5070" w:rsidRDefault="004E507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4E5070" w:rsidRDefault="004E507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4E5070" w:rsidRDefault="00593BFF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4E5070" w:rsidRDefault="00593BFF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 прогнозу социально-экономического развития городского округа Заречный на среднесрочный период </w:t>
      </w:r>
    </w:p>
    <w:p w:rsidR="004E5070" w:rsidRDefault="00593BFF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2022-2024 годов</w:t>
      </w:r>
    </w:p>
    <w:p w:rsidR="004E5070" w:rsidRDefault="004E5070">
      <w:pPr>
        <w:ind w:left="2832" w:firstLine="708"/>
        <w:rPr>
          <w:rFonts w:ascii="Liberation Serif" w:hAnsi="Liberation Serif"/>
          <w:b/>
          <w:sz w:val="28"/>
          <w:szCs w:val="28"/>
        </w:rPr>
      </w:pPr>
    </w:p>
    <w:p w:rsidR="004E5070" w:rsidRDefault="004E5070">
      <w:pPr>
        <w:ind w:left="2832" w:firstLine="708"/>
        <w:rPr>
          <w:rFonts w:ascii="Liberation Serif" w:hAnsi="Liberation Serif"/>
          <w:b/>
          <w:sz w:val="28"/>
          <w:szCs w:val="28"/>
        </w:rPr>
      </w:pPr>
    </w:p>
    <w:p w:rsidR="004E5070" w:rsidRDefault="00593BFF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 социально-экономического развития городского округа Заречный на 2022-2024 годы составлен в соответствии с Бюджетным кодексом Российской Федерации, Указом Губернатора Свердловской области от 29 августа 2014 года №426-УГ «О требованиях к содержанию прогноза социально-экономического развития Свердловской области», постановлением Правительства Свердловской области от 02.09.2015 №800-ПП «О порядке разработки и корректировки прогноза социально-экономического развития Свердловской области на среднесрочный период», Порядком разработки прогноза социально-экономического развития городского округа Заречный, утвержденным постановлением администрации городского округа Заречный от 28.12.2015 №1723-П.</w:t>
      </w:r>
    </w:p>
    <w:p w:rsidR="004E5070" w:rsidRDefault="00593B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 разработан на основе сценарных условий для разработки муниципальными образованиями Свердловской области прогноза социально-экономического развития на 2022-2024 годы с учетом итогов социально-экономического развития городского округа Заречный в 2020 году и тенденций, складывающихся в 2021 году, согласно статистическим данным Управления Федеральной службы государственной Статистики по Свердловской области и Курганской области, и основным показателям экономического развития, представленным организациями, осуществляющими деятельность на территории городского округа Заречный.</w:t>
      </w:r>
    </w:p>
    <w:p w:rsidR="004E5070" w:rsidRDefault="00593BFF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При составлении прогноза социально-экономического развития городского округа Заречный на 2022-2024 годы за основу принят консервативный сценарий (1 вариант), характеризующийся низким темпом экономического роста и более высоким уровнем инфляции. Учтены темпы роста основных показателей экономического развития предприятий (форма 1-ПР) предоставленных предприятиями, осуществляющими свою деятельность на территории городского округа Заречный.</w:t>
      </w:r>
    </w:p>
    <w:p w:rsidR="004E5070" w:rsidRDefault="00593BF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Основные экономические параметры спрогнозированы путем анализа деятельности промышленного комплекса на основании итогов работы за 2020 год по кругу крупных и средних предприятий городского округа и сложившихся тенденций развития экономических показателей (темпы роста добывающих и обрабатывающих производств, электроэнергетики, сельскохозяйственного </w:t>
      </w:r>
      <w:r>
        <w:rPr>
          <w:rFonts w:ascii="Liberation Serif" w:hAnsi="Liberation Serif"/>
          <w:sz w:val="28"/>
          <w:szCs w:val="28"/>
        </w:rPr>
        <w:lastRenderedPageBreak/>
        <w:t>производства, объема инвестиций в основной капитал, оборота розничной торговли и общественного питания и др.).</w:t>
      </w:r>
    </w:p>
    <w:p w:rsidR="004E5070" w:rsidRDefault="00593BFF">
      <w:pPr>
        <w:widowControl/>
        <w:numPr>
          <w:ilvl w:val="0"/>
          <w:numId w:val="2"/>
        </w:numPr>
        <w:tabs>
          <w:tab w:val="left" w:pos="0"/>
        </w:tabs>
        <w:ind w:lef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Оборот организаций по всем видам экономической деятельности спрогнозирован с ростом в 2021 году всего на 1,0% из-за ограничения работы организаций в связи с угрозой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инфекции. В 2022 и 2023 годах снижение в среднем на 1,3-2,0% в год связи со снижением оборотов по виду деятельности «Обеспечение электрической энергией, газом и паром». Снижение обусловлено показателями производственной программы, доведенными до предприятия вышестоящей организацией.</w:t>
      </w:r>
    </w:p>
    <w:p w:rsidR="004E5070" w:rsidRDefault="00593BFF">
      <w:pPr>
        <w:tabs>
          <w:tab w:val="left" w:pos="0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планировании показателей промышленного комплекса учтены статистические данные за 2020 год, данные организаций и тенденции, складывающиеся в 2021 году. В дальнейшем применялся индекс промышленного производства, индекс-дефлятор по первому варианту, по некоторым позициям коэффициенты роста, сложившиеся по организациям определенной сферы деятельности.</w:t>
      </w:r>
    </w:p>
    <w:p w:rsidR="004E5070" w:rsidRDefault="00593BFF">
      <w:pPr>
        <w:tabs>
          <w:tab w:val="left" w:pos="0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 году по оценке сельскохозяйственного предприятия, предоставившего показатели, обороты снизятся на 2,9%. На период 2022-2024 годов применен индекс – дефлятор по первому варианту (1,0). В связи с отсутствием статистических данных (на территории менее трех предприятий) другим методом прогнозирования воспользоваться невозможно.</w:t>
      </w:r>
    </w:p>
    <w:p w:rsidR="004E5070" w:rsidRDefault="00593BFF">
      <w:pPr>
        <w:widowControl/>
        <w:numPr>
          <w:ilvl w:val="0"/>
          <w:numId w:val="2"/>
        </w:numPr>
        <w:tabs>
          <w:tab w:val="left" w:pos="0"/>
        </w:tabs>
        <w:ind w:lef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инвестиций в основной капитал за счет всех источников финансирования спрогнозирован по данным предприятий, принявших участие в подготовке прогноза и предоставивших формы 1-Пр.</w:t>
      </w:r>
    </w:p>
    <w:p w:rsidR="004E5070" w:rsidRDefault="00593BFF">
      <w:pPr>
        <w:widowControl/>
        <w:numPr>
          <w:ilvl w:val="0"/>
          <w:numId w:val="2"/>
        </w:numPr>
        <w:tabs>
          <w:tab w:val="left" w:pos="0"/>
        </w:tabs>
        <w:ind w:lef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Оборот розничной торговли в 2020 году снизился по сравнению с 2019 годом на 27,2% в связи с ограничениями, введенными с целью снижения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инфекции. В 2021 году ожидается рост на 4,6%, исходя из индекса физического объема и индекса-дефлятора. В дальнейшем спрогнозирован рост в среднем на 2,8-2,9% в год. Аналогичная ситуация по общественному питанию в 2020 году. В дальнейшем спрогнозирован рост оборотов на 2,9-3,0% в год.</w:t>
      </w:r>
    </w:p>
    <w:p w:rsidR="004E5070" w:rsidRDefault="00593B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социальные параметры спрогнозированы путем анализа существующих тенденций развития социальных показателей (изменения в уровне доходов населения, обеспечение населения услугами объектов социальной сферы и др.).</w:t>
      </w:r>
    </w:p>
    <w:p w:rsidR="004E5070" w:rsidRDefault="00593BFF">
      <w:pPr>
        <w:widowControl/>
        <w:numPr>
          <w:ilvl w:val="0"/>
          <w:numId w:val="3"/>
        </w:numPr>
        <w:tabs>
          <w:tab w:val="left" w:pos="0"/>
        </w:tabs>
        <w:ind w:lef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демографической ситуации в 2019 году наблюдается естественная убыль населения, которая составила 131 человек. По оценочным показателям в 2021 году рождаемость также не будет превышать смертность. Численность населения в 2020 году выросла по сравнению 2019 годом на 231 человека за счет миграционного прироста. Анализ сложившихся тенденций показывает, что при нулевом миграционном приросте ожидаемая расчетная численность населения городского округа на 1 января 2022 года составит 31,47 тыс. человек. Численность постоянного населения ГО Заречный с 2022 по 2024 годы будет снижаться в среднем на 25-30 человек в год.</w:t>
      </w:r>
    </w:p>
    <w:p w:rsidR="004E5070" w:rsidRDefault="00593BFF">
      <w:pPr>
        <w:widowControl/>
        <w:numPr>
          <w:ilvl w:val="0"/>
          <w:numId w:val="3"/>
        </w:numPr>
        <w:tabs>
          <w:tab w:val="left" w:pos="0"/>
        </w:tabs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Численность занятых в экономике городского округа Заречный в 2020 году по сравнению с 2019 годом выросла на 1,2%. В 2021 году ожидается рост численности на 1,8%. В прогнозируемом периоде, по оценкам предприятий, ожидается рост в среднем на 0,1-0,6% в год.</w:t>
      </w:r>
    </w:p>
    <w:p w:rsidR="004E5070" w:rsidRDefault="00593BFF">
      <w:pPr>
        <w:widowControl/>
        <w:numPr>
          <w:ilvl w:val="0"/>
          <w:numId w:val="3"/>
        </w:numPr>
        <w:tabs>
          <w:tab w:val="left" w:pos="0"/>
        </w:tabs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Ограничения, связанные с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инфекцией, негативно сказались на рынке труда. В связи с введением упрощенного порядка регистрации, граждане обращались в государственные учреждения службы занятости населения в том числе в дистанционной форме, что также повлияло на рост числа зарегистрированных безработных. В 2020 году по сравнению с 2019 годом уровень официально зарегистрированной безработицы вырос с 0,7% до 3,73% к экономически активному населению. Исходя из ситуации, сложившейся за 5 месяцев 2021 года, к концу года показатель может составить 2,13%. В дальнейшем спрогнозировано снижение уровня безработицы к 2024 году до 1,0%. Коэффициент напряженности на рынке труда составил в 2020 году 1,66 незанятых граждан на 1 вакансию, по состоянию на 01.06.2021 года – 0,73. В прогнозируемом периоде безработица будет носить в основном структурный характер, то есть за счет профессионально-квалификационного и территориального несоответствия состава безработных граждан и структуры имеющихся вакансий.</w:t>
      </w:r>
    </w:p>
    <w:p w:rsidR="004E5070" w:rsidRDefault="00593BFF">
      <w:pPr>
        <w:widowControl/>
        <w:numPr>
          <w:ilvl w:val="0"/>
          <w:numId w:val="3"/>
        </w:numPr>
        <w:tabs>
          <w:tab w:val="left" w:pos="0"/>
        </w:tabs>
        <w:ind w:lef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среднемесячная номинальная начисленная заработная плата увеличилась на 7,1% по сравнению с предыдущим годом. По оценкам предприятий, осуществляющих деятельность на территории городского округа Заречный, рост среднемесячной заработной платы в 2020 году составит 6,6%, в прогнозируемом периоде – 4,0%. Прогнозные показатели составлены с учетом планируемого роста заработной платы в бюджетной сфере и темпами роста планируемыми предприятиями, предоставившими прогнозные показатели развития.</w:t>
      </w:r>
    </w:p>
    <w:p w:rsidR="004E5070" w:rsidRDefault="00593BFF">
      <w:pPr>
        <w:widowControl/>
        <w:numPr>
          <w:ilvl w:val="0"/>
          <w:numId w:val="3"/>
        </w:numPr>
        <w:tabs>
          <w:tab w:val="left" w:pos="0"/>
        </w:tabs>
        <w:ind w:left="0"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Денежные доходы населения городского округа Заречный в 2020 году составили 9 303,3 млн. рублей. Несмотря на ограничения работы организаций в связи с угрозой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инфекции, по сравнению с 2019 годом наблюдается рост на 3,8%. Это объясняется ростом заработной платы на крупных и средних предприятиях городского округа на 7,1% и увеличением объема социальных выплат населению. В перспективе спрогнозирован рост денежных доходов населения с среднем на 4,0 – 4,6% в год.</w:t>
      </w:r>
    </w:p>
    <w:p w:rsidR="004E5070" w:rsidRDefault="004E5070">
      <w:pPr>
        <w:rPr>
          <w:rFonts w:ascii="Liberation Serif" w:hAnsi="Liberation Serif"/>
          <w:sz w:val="28"/>
          <w:szCs w:val="28"/>
        </w:rPr>
      </w:pPr>
    </w:p>
    <w:sectPr w:rsidR="004E5070">
      <w:headerReference w:type="default" r:id="rId15"/>
      <w:pgSz w:w="11907" w:h="16840"/>
      <w:pgMar w:top="56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E4" w:rsidRDefault="00B64AE4">
      <w:r>
        <w:separator/>
      </w:r>
    </w:p>
  </w:endnote>
  <w:endnote w:type="continuationSeparator" w:id="0">
    <w:p w:rsidR="00B64AE4" w:rsidRDefault="00B6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E4" w:rsidRDefault="00B64AE4">
      <w:r>
        <w:rPr>
          <w:color w:val="000000"/>
        </w:rPr>
        <w:separator/>
      </w:r>
    </w:p>
  </w:footnote>
  <w:footnote w:type="continuationSeparator" w:id="0">
    <w:p w:rsidR="00B64AE4" w:rsidRDefault="00B6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32" w:rsidRDefault="00593BFF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41D8B">
      <w:rPr>
        <w:noProof/>
      </w:rPr>
      <w:t>2</w:t>
    </w:r>
    <w:r>
      <w:fldChar w:fldCharType="end"/>
    </w:r>
  </w:p>
  <w:p w:rsidR="009C0B32" w:rsidRDefault="00B64A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32" w:rsidRDefault="00593BFF">
    <w:pPr>
      <w:pStyle w:val="a9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34373E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  <w:p w:rsidR="009C0B32" w:rsidRDefault="00B64AE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32" w:rsidRDefault="00593BFF">
    <w:pPr>
      <w:pStyle w:val="a9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34373E">
      <w:rPr>
        <w:rFonts w:ascii="Liberation Serif" w:hAnsi="Liberation Serif"/>
        <w:noProof/>
        <w:sz w:val="24"/>
      </w:rPr>
      <w:t>7</w:t>
    </w:r>
    <w:r>
      <w:rPr>
        <w:rFonts w:ascii="Liberation Serif" w:hAnsi="Liberation Serif"/>
        <w:sz w:val="24"/>
      </w:rPr>
      <w:fldChar w:fldCharType="end"/>
    </w:r>
  </w:p>
  <w:p w:rsidR="009C0B32" w:rsidRDefault="00B64A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AC3"/>
    <w:multiLevelType w:val="multilevel"/>
    <w:tmpl w:val="230032F2"/>
    <w:lvl w:ilvl="0">
      <w:start w:val="1"/>
      <w:numFmt w:val="decimal"/>
      <w:lvlText w:val="%1."/>
      <w:lvlJc w:val="left"/>
      <w:pPr>
        <w:ind w:left="945" w:hanging="5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3A1A"/>
    <w:multiLevelType w:val="multilevel"/>
    <w:tmpl w:val="5246D9F4"/>
    <w:lvl w:ilvl="0">
      <w:start w:val="1"/>
      <w:numFmt w:val="decimal"/>
      <w:lvlText w:val="%1."/>
      <w:lvlJc w:val="left"/>
      <w:pPr>
        <w:ind w:left="2771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71E93A2E"/>
    <w:multiLevelType w:val="multilevel"/>
    <w:tmpl w:val="4A783092"/>
    <w:lvl w:ilvl="0">
      <w:start w:val="1"/>
      <w:numFmt w:val="decimal"/>
      <w:lvlText w:val="%1."/>
      <w:lvlJc w:val="left"/>
      <w:pPr>
        <w:ind w:left="945" w:hanging="58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0"/>
    <w:rsid w:val="00041D8B"/>
    <w:rsid w:val="0034373E"/>
    <w:rsid w:val="004E5070"/>
    <w:rsid w:val="00593BFF"/>
    <w:rsid w:val="007C7ACD"/>
    <w:rsid w:val="00B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9E8C"/>
  <w15:docId w15:val="{0B387F7B-D458-4A26-8D93-ACB7BC50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zarechn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825A9A482091B8129E9C646B864392ADED26FDF391F1D27C150B899031BFE69678998E22D0C3937ADA8F1Y6Y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70825A9A482091B8129E9C646B864392ADED26FDF391F1D27C150B899031BFE69678998E22D0C3937ADA5F6Y6Y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4.07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CE7A-72AE-4E30-9AD9-EF650DEA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2021-07-07T04:34:00Z</cp:lastPrinted>
  <dcterms:created xsi:type="dcterms:W3CDTF">2021-07-07T04:34:00Z</dcterms:created>
  <dcterms:modified xsi:type="dcterms:W3CDTF">2021-07-09T10:01:00Z</dcterms:modified>
</cp:coreProperties>
</file>