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C4" w:rsidRPr="00F779C4" w:rsidRDefault="00F779C4" w:rsidP="00F779C4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F779C4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6" o:title=""/>
          </v:shape>
          <o:OLEObject Type="Embed" ProgID="Word.Document.8" ShapeID="_x0000_i1025" DrawAspect="Content" ObjectID="_1773560594" r:id="rId7"/>
        </w:object>
      </w:r>
    </w:p>
    <w:p w:rsidR="00F779C4" w:rsidRPr="00F779C4" w:rsidRDefault="00F779C4" w:rsidP="00F779C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779C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779C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779C4" w:rsidRPr="00F779C4" w:rsidRDefault="00F779C4" w:rsidP="00F779C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779C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779C4" w:rsidRPr="00F779C4" w:rsidRDefault="00F779C4" w:rsidP="00F779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779C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55CDE8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779C4" w:rsidRPr="00F779C4" w:rsidRDefault="00F779C4" w:rsidP="00F779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779C4" w:rsidRPr="00F779C4" w:rsidRDefault="00F779C4" w:rsidP="00F779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779C4" w:rsidRPr="00F779C4" w:rsidRDefault="00F779C4" w:rsidP="00F779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779C4">
        <w:rPr>
          <w:rFonts w:ascii="Liberation Serif" w:hAnsi="Liberation Serif"/>
          <w:sz w:val="24"/>
        </w:rPr>
        <w:t>от__</w:t>
      </w:r>
      <w:r w:rsidR="00FF286E">
        <w:rPr>
          <w:rFonts w:ascii="Liberation Serif" w:hAnsi="Liberation Serif"/>
          <w:sz w:val="24"/>
          <w:u w:val="single"/>
        </w:rPr>
        <w:t>01.04.2024</w:t>
      </w:r>
      <w:r w:rsidRPr="00F779C4">
        <w:rPr>
          <w:rFonts w:ascii="Liberation Serif" w:hAnsi="Liberation Serif"/>
          <w:sz w:val="24"/>
        </w:rPr>
        <w:t>__</w:t>
      </w:r>
      <w:proofErr w:type="gramStart"/>
      <w:r w:rsidRPr="00F779C4">
        <w:rPr>
          <w:rFonts w:ascii="Liberation Serif" w:hAnsi="Liberation Serif"/>
          <w:sz w:val="24"/>
        </w:rPr>
        <w:t>_  №</w:t>
      </w:r>
      <w:proofErr w:type="gramEnd"/>
      <w:r w:rsidRPr="00F779C4">
        <w:rPr>
          <w:rFonts w:ascii="Liberation Serif" w:hAnsi="Liberation Serif"/>
          <w:sz w:val="24"/>
        </w:rPr>
        <w:t xml:space="preserve">  ___</w:t>
      </w:r>
      <w:r w:rsidR="00FF286E">
        <w:rPr>
          <w:rFonts w:ascii="Liberation Serif" w:hAnsi="Liberation Serif"/>
          <w:sz w:val="24"/>
          <w:u w:val="single"/>
        </w:rPr>
        <w:t>475-П</w:t>
      </w:r>
      <w:r w:rsidRPr="00F779C4">
        <w:rPr>
          <w:rFonts w:ascii="Liberation Serif" w:hAnsi="Liberation Serif"/>
          <w:sz w:val="24"/>
        </w:rPr>
        <w:t>____</w:t>
      </w:r>
    </w:p>
    <w:p w:rsidR="00F779C4" w:rsidRPr="00F779C4" w:rsidRDefault="00F779C4" w:rsidP="00F779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779C4" w:rsidRPr="00F779C4" w:rsidRDefault="00F779C4" w:rsidP="00F779C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779C4">
        <w:rPr>
          <w:rFonts w:ascii="Liberation Serif" w:hAnsi="Liberation Serif"/>
          <w:sz w:val="24"/>
          <w:szCs w:val="24"/>
        </w:rPr>
        <w:t>г. Заречный</w:t>
      </w:r>
    </w:p>
    <w:p w:rsidR="00412253" w:rsidRDefault="00412253">
      <w:pPr>
        <w:pStyle w:val="Standard"/>
        <w:ind w:left="0" w:right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412253" w:rsidRDefault="00412253">
      <w:pPr>
        <w:pStyle w:val="Standard"/>
        <w:ind w:left="0" w:right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412253" w:rsidRDefault="001B5D80">
      <w:pPr>
        <w:pStyle w:val="Standard"/>
        <w:ind w:left="0" w:right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О внесении изменений в муниципальную программу «Реализация социальной политики </w:t>
      </w:r>
    </w:p>
    <w:p w:rsidR="00412253" w:rsidRDefault="001B5D80">
      <w:pPr>
        <w:pStyle w:val="Standard"/>
        <w:ind w:left="0" w:right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в городском округе Заречный до 2026 года», утвержденную постановлением администрации городского округа Заречный от 18.11.2019 № 1154-П</w:t>
      </w:r>
    </w:p>
    <w:p w:rsidR="00412253" w:rsidRDefault="00412253">
      <w:pPr>
        <w:pStyle w:val="Standard"/>
        <w:ind w:left="0" w:right="0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12253" w:rsidRDefault="00412253">
      <w:pPr>
        <w:pStyle w:val="Standard"/>
        <w:ind w:left="0" w:right="0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12253" w:rsidRDefault="001B5D80">
      <w:pPr>
        <w:pStyle w:val="Standard"/>
        <w:ind w:left="0" w:right="0" w:firstLine="709"/>
        <w:textAlignment w:val="auto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решением Думы городского округа Заречный от 21.12.2023 № 105-Р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«О бюджете городского округа Заречный на 2024 год и плановый период 2025-2026 годов», </w:t>
      </w:r>
      <w:r>
        <w:rPr>
          <w:rFonts w:ascii="Liberation Serif" w:hAnsi="Liberation Serif" w:cs="Liberation Serif"/>
          <w:color w:val="000000"/>
          <w:sz w:val="24"/>
          <w:szCs w:val="24"/>
        </w:rPr>
        <w:t>на основании ст. ст. 28, 31 Устава городского округа Заречный администрация городского округа Заречный</w:t>
      </w:r>
    </w:p>
    <w:p w:rsidR="00412253" w:rsidRDefault="001B5D80">
      <w:pPr>
        <w:pStyle w:val="Standard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ПОСТАНОВЛЯЕТ:</w:t>
      </w:r>
    </w:p>
    <w:p w:rsidR="00412253" w:rsidRDefault="001B5D80">
      <w:pPr>
        <w:pStyle w:val="Standard"/>
        <w:ind w:left="0" w:right="0" w:firstLine="709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1. Внести в муниципальную программу «Реализация социальной политики в городском округе Заречный до 2026 года», утвержденную постановлением администрации городского округа Заречный от 18.11.2019 № 1154-П с изменениями, внесенными постановлениями администрации городского округа Заречный от 31.12.2020 № 1048-П, от 04.08.2021 № 793-П, от 30.12.2021 № 1320-П, от 11.05.2022 № 586-П, от 08.11.2022 № 1374-П, от 26.12.2022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  <w:t>№ 1635-П, от 02.03.2023 № 241-П, от 16.05.2023 № 589-П, от 05.12.2023 № 1579-П, от 30.01.2024 № 111-П, следующие изменения:</w:t>
      </w:r>
    </w:p>
    <w:p w:rsidR="00412253" w:rsidRDefault="001B5D80">
      <w:pPr>
        <w:pStyle w:val="Standard"/>
        <w:ind w:left="0" w:right="0" w:firstLine="709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изложить строку «Объем финансирования муниципальной программы по годам реализации, рублей» Паспорта муниципальной программы в следующей редакции:</w:t>
      </w:r>
    </w:p>
    <w:p w:rsidR="00412253" w:rsidRDefault="00412253">
      <w:pPr>
        <w:pStyle w:val="Standard"/>
        <w:ind w:left="0" w:right="0" w:firstLine="709"/>
        <w:rPr>
          <w:rFonts w:ascii="Liberation Serif" w:hAnsi="Liberation Serif" w:cs="Liberation Serif"/>
          <w:color w:val="000000"/>
          <w:sz w:val="24"/>
          <w:szCs w:val="24"/>
        </w:rPr>
      </w:pPr>
    </w:p>
    <w:tbl>
      <w:tblPr>
        <w:tblW w:w="9864" w:type="dxa"/>
        <w:tblInd w:w="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4"/>
        <w:gridCol w:w="6640"/>
      </w:tblGrid>
      <w:tr w:rsidR="00412253">
        <w:trPr>
          <w:trHeight w:val="360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2253" w:rsidRDefault="001B5D80">
            <w:pPr>
              <w:pStyle w:val="Standard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Объём финансирования</w:t>
            </w:r>
          </w:p>
          <w:p w:rsidR="00412253" w:rsidRDefault="001B5D80">
            <w:pPr>
              <w:pStyle w:val="Standard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муниципальной</w:t>
            </w:r>
          </w:p>
          <w:p w:rsidR="00412253" w:rsidRDefault="001B5D80">
            <w:pPr>
              <w:pStyle w:val="Standard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программы по годам</w:t>
            </w:r>
          </w:p>
          <w:p w:rsidR="00412253" w:rsidRDefault="001B5D80">
            <w:pPr>
              <w:pStyle w:val="Standard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реализации, рублей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ВСЕГО: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903 206 172,12 рубля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2020 год - 114 845 974,47 рубля,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2021 год - 115 826 391,04 рубля,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2022 год - 119 349 050,05 рубля,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2023 год - 140 277 518,56 рубля,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2024 год - 134 956 861,00 рубль,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2025 год - 136 630 872,00 рубля,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2026 год - 141 319 505,00 рублей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из них: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708 757 600,00 рублей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2020 год - 89 093 000,00 рублей,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2021 год - 92 509 500,00 рублей,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2022 год - 93 532 000,00 рублей,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2023 год - 105 902 900,00 рублей,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2024 год - 104 984 700,00 рублей,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2025 год - 109 184 100,00 рублей,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2026 год - 113 551 400,00 рублей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федеральный бюджет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115 672 700,00 рублей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2020 год - 15 190 100,00 рублей,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2021 год - 15 654 300,00 рублей,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2022 год - 16 074 100,00 рублей,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2023 год - 19 659 000,00 рублей,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2024 год - 16 245 500,00 рублей,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2025 год - 16 445 000,00 рублей,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2026 год - 16 404 700,00 рублей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78 775 872,12 рубля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2020 год - 10 562 874,47 рубля,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2021 год - 7 662 591,04 рубля,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2022 год - 9 742 950,05 рубля,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2023 год - 14 715 618,56 рубля,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2024 год - 13 726 661,00 рубль,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2025 год - 11 001 772,00 рубля,</w:t>
            </w:r>
          </w:p>
          <w:p w:rsidR="00412253" w:rsidRDefault="001B5D80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2026 год - 11 363 405,00 рублей</w:t>
            </w:r>
          </w:p>
        </w:tc>
      </w:tr>
    </w:tbl>
    <w:p w:rsidR="00412253" w:rsidRDefault="00412253">
      <w:pPr>
        <w:pStyle w:val="Textbodyuser"/>
        <w:ind w:right="0" w:firstLine="737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12253" w:rsidRDefault="001B5D80">
      <w:pPr>
        <w:pStyle w:val="Textbodyuser"/>
        <w:ind w:right="0" w:firstLine="737"/>
      </w:pPr>
      <w:r>
        <w:rPr>
          <w:rFonts w:ascii="Liberation Serif" w:hAnsi="Liberation Serif" w:cs="Liberation Serif"/>
          <w:color w:val="000000"/>
          <w:sz w:val="24"/>
          <w:szCs w:val="24"/>
        </w:rPr>
        <w:t>2) изложить Приложение № 2 «План мероприятий по выполнению муниципальной программы «Реализация социальной политики в городском округе Заречный до 2026 года» в новой редакции (прилагается).</w:t>
      </w:r>
    </w:p>
    <w:p w:rsidR="00412253" w:rsidRDefault="001B5D80">
      <w:pPr>
        <w:pStyle w:val="Textbodyuser"/>
        <w:ind w:right="0" w:firstLine="737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412253" w:rsidRDefault="001B5D80">
      <w:pPr>
        <w:pStyle w:val="Textbodyuser"/>
        <w:ind w:right="0" w:firstLine="737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412253" w:rsidRDefault="00412253">
      <w:pPr>
        <w:pStyle w:val="Standard"/>
        <w:ind w:left="0" w:right="0" w:firstLine="709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12253" w:rsidRDefault="00412253">
      <w:pPr>
        <w:pStyle w:val="Standard"/>
        <w:rPr>
          <w:rFonts w:ascii="Liberation Serif" w:hAnsi="Liberation Serif" w:cs="Liberation Serif"/>
          <w:color w:val="000000"/>
          <w:sz w:val="24"/>
          <w:szCs w:val="24"/>
        </w:rPr>
      </w:pPr>
    </w:p>
    <w:tbl>
      <w:tblPr>
        <w:tblW w:w="992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543"/>
      </w:tblGrid>
      <w:tr w:rsidR="0041225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253" w:rsidRDefault="001B5D8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Глава</w:t>
            </w:r>
          </w:p>
          <w:p w:rsidR="00412253" w:rsidRDefault="001B5D8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253" w:rsidRDefault="0041225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253" w:rsidRDefault="0041225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412253" w:rsidRDefault="001B5D80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               А.В. Захарцев</w:t>
            </w:r>
          </w:p>
        </w:tc>
      </w:tr>
      <w:tr w:rsidR="0041225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253" w:rsidRDefault="0041225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253" w:rsidRDefault="00412253">
            <w:pPr>
              <w:ind w:right="57" w:hanging="113"/>
              <w:jc w:val="center"/>
            </w:pP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253" w:rsidRDefault="00412253">
            <w:pPr>
              <w:ind w:left="28" w:right="28" w:hanging="3402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A27259" w:rsidRDefault="00A27259">
      <w:pPr>
        <w:sectPr w:rsidR="00A27259">
          <w:headerReference w:type="default" r:id="rId8"/>
          <w:pgSz w:w="11906" w:h="16838"/>
          <w:pgMar w:top="1135" w:right="567" w:bottom="720" w:left="1418" w:header="720" w:footer="720" w:gutter="0"/>
          <w:cols w:space="720"/>
          <w:titlePg/>
        </w:sectPr>
      </w:pPr>
    </w:p>
    <w:p w:rsidR="00412253" w:rsidRDefault="001B5D80">
      <w:pPr>
        <w:pStyle w:val="Standard"/>
        <w:ind w:left="10490" w:right="57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lastRenderedPageBreak/>
        <w:t>Приложение</w:t>
      </w:r>
    </w:p>
    <w:p w:rsidR="00412253" w:rsidRDefault="001B5D80">
      <w:pPr>
        <w:pStyle w:val="Standard"/>
        <w:ind w:left="10490" w:right="57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к постановлению администрации</w:t>
      </w:r>
    </w:p>
    <w:p w:rsidR="00412253" w:rsidRDefault="001B5D80">
      <w:pPr>
        <w:pStyle w:val="Standard"/>
        <w:ind w:left="10490" w:right="57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городского округа Заречный</w:t>
      </w:r>
    </w:p>
    <w:p w:rsidR="00FF286E" w:rsidRPr="00FF286E" w:rsidRDefault="00FF286E" w:rsidP="00FF286E">
      <w:pPr>
        <w:pStyle w:val="Standard"/>
        <w:ind w:left="10490" w:right="57"/>
        <w:jc w:val="left"/>
        <w:rPr>
          <w:rFonts w:ascii="Liberation Serif" w:hAnsi="Liberation Serif" w:cs="Calibri"/>
          <w:color w:val="000000"/>
          <w:sz w:val="24"/>
          <w:szCs w:val="24"/>
        </w:rPr>
      </w:pPr>
      <w:r w:rsidRPr="00FF286E">
        <w:rPr>
          <w:rFonts w:ascii="Liberation Serif" w:hAnsi="Liberation Serif" w:cs="Calibri"/>
          <w:color w:val="000000"/>
          <w:sz w:val="24"/>
          <w:szCs w:val="24"/>
        </w:rPr>
        <w:t>от__</w:t>
      </w:r>
      <w:r w:rsidRPr="00FF286E">
        <w:rPr>
          <w:rFonts w:ascii="Liberation Serif" w:hAnsi="Liberation Serif" w:cs="Calibri"/>
          <w:color w:val="000000"/>
          <w:sz w:val="24"/>
          <w:szCs w:val="24"/>
          <w:u w:val="single"/>
        </w:rPr>
        <w:t>01.04.2024</w:t>
      </w:r>
      <w:r w:rsidRPr="00FF286E">
        <w:rPr>
          <w:rFonts w:ascii="Liberation Serif" w:hAnsi="Liberation Serif" w:cs="Calibri"/>
          <w:color w:val="000000"/>
          <w:sz w:val="24"/>
          <w:szCs w:val="24"/>
        </w:rPr>
        <w:t>__</w:t>
      </w:r>
      <w:proofErr w:type="gramStart"/>
      <w:r w:rsidRPr="00FF286E">
        <w:rPr>
          <w:rFonts w:ascii="Liberation Serif" w:hAnsi="Liberation Serif" w:cs="Calibri"/>
          <w:color w:val="000000"/>
          <w:sz w:val="24"/>
          <w:szCs w:val="24"/>
        </w:rPr>
        <w:t>_  №</w:t>
      </w:r>
      <w:proofErr w:type="gramEnd"/>
      <w:r w:rsidRPr="00FF286E">
        <w:rPr>
          <w:rFonts w:ascii="Liberation Serif" w:hAnsi="Liberation Serif" w:cs="Calibri"/>
          <w:color w:val="000000"/>
          <w:sz w:val="24"/>
          <w:szCs w:val="24"/>
        </w:rPr>
        <w:t xml:space="preserve">  ___</w:t>
      </w:r>
      <w:r w:rsidRPr="00FF286E">
        <w:rPr>
          <w:rFonts w:ascii="Liberation Serif" w:hAnsi="Liberation Serif" w:cs="Calibri"/>
          <w:color w:val="000000"/>
          <w:sz w:val="24"/>
          <w:szCs w:val="24"/>
          <w:u w:val="single"/>
        </w:rPr>
        <w:t>475-П</w:t>
      </w:r>
      <w:r w:rsidRPr="00FF286E">
        <w:rPr>
          <w:rFonts w:ascii="Liberation Serif" w:hAnsi="Liberation Serif" w:cs="Calibri"/>
          <w:color w:val="000000"/>
          <w:sz w:val="24"/>
          <w:szCs w:val="24"/>
        </w:rPr>
        <w:t>____</w:t>
      </w:r>
    </w:p>
    <w:p w:rsidR="00412253" w:rsidRDefault="00412253">
      <w:pPr>
        <w:pStyle w:val="Standard"/>
        <w:ind w:left="10490" w:right="57"/>
        <w:jc w:val="left"/>
        <w:rPr>
          <w:rFonts w:ascii="Liberation Serif" w:hAnsi="Liberation Serif" w:cs="Liberation Serif"/>
          <w:bCs/>
          <w:color w:val="000000"/>
          <w:sz w:val="24"/>
          <w:szCs w:val="24"/>
        </w:rPr>
      </w:pPr>
      <w:bookmarkStart w:id="0" w:name="_GoBack"/>
      <w:bookmarkEnd w:id="0"/>
    </w:p>
    <w:p w:rsidR="00412253" w:rsidRDefault="00412253">
      <w:pPr>
        <w:pStyle w:val="Standard"/>
        <w:rPr>
          <w:rFonts w:ascii="Liberation Serif" w:hAnsi="Liberation Serif"/>
          <w:color w:val="000000"/>
        </w:r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1155"/>
        <w:gridCol w:w="772"/>
        <w:gridCol w:w="774"/>
        <w:gridCol w:w="772"/>
        <w:gridCol w:w="774"/>
        <w:gridCol w:w="236"/>
        <w:gridCol w:w="237"/>
        <w:gridCol w:w="9828"/>
      </w:tblGrid>
      <w:tr w:rsidR="00412253">
        <w:trPr>
          <w:trHeight w:val="1401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253" w:rsidRDefault="00412253">
            <w:pPr>
              <w:pStyle w:val="Standard"/>
              <w:widowControl w:val="0"/>
              <w:spacing w:after="160"/>
              <w:rPr>
                <w:rFonts w:ascii="Liberation Serif" w:hAnsi="Liberation Serif"/>
                <w:color w:val="000000"/>
              </w:rPr>
            </w:pPr>
            <w:bookmarkStart w:id="1" w:name="_GoBack_Копия_1"/>
            <w:bookmarkEnd w:id="1"/>
          </w:p>
        </w:tc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253" w:rsidRDefault="00412253">
            <w:pPr>
              <w:pStyle w:val="Standard"/>
              <w:widowControl w:val="0"/>
              <w:jc w:val="righ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253" w:rsidRDefault="00412253">
            <w:pPr>
              <w:pStyle w:val="Standard"/>
              <w:widowControl w:val="0"/>
              <w:jc w:val="righ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253" w:rsidRDefault="00412253">
            <w:pPr>
              <w:pStyle w:val="Standard"/>
              <w:widowControl w:val="0"/>
              <w:jc w:val="righ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253" w:rsidRDefault="00412253">
            <w:pPr>
              <w:pStyle w:val="Standard"/>
              <w:widowControl w:val="0"/>
              <w:jc w:val="righ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253" w:rsidRDefault="00412253">
            <w:pPr>
              <w:pStyle w:val="Standard"/>
              <w:widowControl w:val="0"/>
              <w:jc w:val="righ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53" w:rsidRDefault="00412253">
            <w:pPr>
              <w:pStyle w:val="Standard"/>
              <w:widowControl w:val="0"/>
              <w:jc w:val="righ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53" w:rsidRDefault="00412253">
            <w:pPr>
              <w:pStyle w:val="Standard"/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53" w:rsidRDefault="001B5D80">
            <w:pPr>
              <w:pStyle w:val="Standard"/>
              <w:widowControl w:val="0"/>
              <w:ind w:left="5385" w:right="113"/>
              <w:jc w:val="lef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Приложение № 2</w:t>
            </w:r>
          </w:p>
          <w:p w:rsidR="00412253" w:rsidRDefault="001B5D80">
            <w:pPr>
              <w:pStyle w:val="Standard"/>
              <w:widowControl w:val="0"/>
              <w:ind w:left="5385" w:right="113"/>
              <w:jc w:val="lef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к муниципальной программе «Реализация социальной политики </w:t>
            </w:r>
          </w:p>
          <w:p w:rsidR="00412253" w:rsidRDefault="001B5D80">
            <w:pPr>
              <w:pStyle w:val="Standard"/>
              <w:widowControl w:val="0"/>
              <w:ind w:left="5385" w:right="113"/>
              <w:jc w:val="lef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в городском округе Заречный </w:t>
            </w:r>
          </w:p>
          <w:p w:rsidR="00412253" w:rsidRDefault="001B5D80">
            <w:pPr>
              <w:pStyle w:val="Standard"/>
              <w:widowControl w:val="0"/>
              <w:ind w:left="5385" w:right="113"/>
              <w:jc w:val="left"/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до 2026 года»</w:t>
            </w:r>
          </w:p>
        </w:tc>
      </w:tr>
      <w:tr w:rsidR="00412253">
        <w:trPr>
          <w:trHeight w:val="510"/>
        </w:trPr>
        <w:tc>
          <w:tcPr>
            <w:tcW w:w="1496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253" w:rsidRDefault="001B5D80">
            <w:pPr>
              <w:pStyle w:val="Standard"/>
              <w:widowControl w:val="0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ПЛАН МЕРОПРИЯТИЙ</w:t>
            </w:r>
          </w:p>
        </w:tc>
      </w:tr>
      <w:tr w:rsidR="00412253">
        <w:trPr>
          <w:trHeight w:val="276"/>
        </w:trPr>
        <w:tc>
          <w:tcPr>
            <w:tcW w:w="1496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253" w:rsidRDefault="001B5D80">
            <w:pPr>
              <w:pStyle w:val="Standard"/>
              <w:widowControl w:val="0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412253">
        <w:trPr>
          <w:trHeight w:val="510"/>
        </w:trPr>
        <w:tc>
          <w:tcPr>
            <w:tcW w:w="1496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253" w:rsidRDefault="001B5D80">
            <w:pPr>
              <w:pStyle w:val="Standard"/>
              <w:widowControl w:val="0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«Реализация социальной политики в городском округе Заречный до 2026 года»</w:t>
            </w:r>
          </w:p>
        </w:tc>
      </w:tr>
    </w:tbl>
    <w:p w:rsidR="00412253" w:rsidRDefault="00412253">
      <w:pPr>
        <w:pStyle w:val="Standard"/>
        <w:rPr>
          <w:rFonts w:ascii="Liberation Serif" w:hAnsi="Liberation Serif"/>
          <w:color w:val="000000"/>
        </w:rPr>
      </w:pPr>
    </w:p>
    <w:tbl>
      <w:tblPr>
        <w:tblW w:w="155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1271"/>
        <w:gridCol w:w="1417"/>
        <w:gridCol w:w="1418"/>
        <w:gridCol w:w="1417"/>
        <w:gridCol w:w="1418"/>
        <w:gridCol w:w="1417"/>
        <w:gridCol w:w="1418"/>
        <w:gridCol w:w="1417"/>
        <w:gridCol w:w="1281"/>
      </w:tblGrid>
      <w:tr w:rsidR="00412253" w:rsidTr="008A78CE">
        <w:trPr>
          <w:cantSplit/>
          <w:trHeight w:val="255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pStyle w:val="Standard"/>
              <w:widowControl w:val="0"/>
              <w:spacing w:after="160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pStyle w:val="Standard"/>
              <w:widowControl w:val="0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pStyle w:val="Standard"/>
              <w:widowControl w:val="0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pStyle w:val="Standard"/>
              <w:widowControl w:val="0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Номера целевых показателей, на достижение которых направлены мероприятия</w:t>
            </w:r>
          </w:p>
        </w:tc>
      </w:tr>
      <w:tr w:rsidR="00412253" w:rsidTr="008A78CE">
        <w:trPr>
          <w:cantSplit/>
          <w:trHeight w:val="1125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41225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412253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pStyle w:val="Standard"/>
              <w:widowControl w:val="0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pStyle w:val="Standard"/>
              <w:widowControl w:val="0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pStyle w:val="Standard"/>
              <w:widowControl w:val="0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pStyle w:val="Standard"/>
              <w:widowControl w:val="0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pStyle w:val="Standard"/>
              <w:widowControl w:val="0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pStyle w:val="Standard"/>
              <w:widowControl w:val="0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pStyle w:val="Standard"/>
              <w:widowControl w:val="0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pStyle w:val="Standard"/>
              <w:widowControl w:val="0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2026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412253"/>
        </w:tc>
      </w:tr>
    </w:tbl>
    <w:p w:rsidR="00412253" w:rsidRDefault="00412253">
      <w:pPr>
        <w:pStyle w:val="Standard"/>
        <w:rPr>
          <w:rFonts w:ascii="Liberation Serif" w:hAnsi="Liberation Serif" w:cs="Liberation Serif"/>
          <w:color w:val="000000"/>
          <w:sz w:val="2"/>
          <w:szCs w:val="2"/>
        </w:rPr>
      </w:pPr>
    </w:p>
    <w:tbl>
      <w:tblPr>
        <w:tblW w:w="155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1417"/>
        <w:gridCol w:w="1418"/>
        <w:gridCol w:w="1417"/>
        <w:gridCol w:w="1418"/>
        <w:gridCol w:w="1417"/>
        <w:gridCol w:w="1418"/>
        <w:gridCol w:w="1417"/>
        <w:gridCol w:w="1281"/>
      </w:tblGrid>
      <w:tr w:rsidR="00412253" w:rsidTr="008A78CE">
        <w:trPr>
          <w:cantSplit/>
          <w:trHeight w:val="264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</w:t>
            </w:r>
          </w:p>
        </w:tc>
      </w:tr>
      <w:tr w:rsidR="00412253" w:rsidTr="008A78CE">
        <w:trPr>
          <w:cantSplit/>
          <w:trHeight w:val="7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903 206 172,12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114 845 974,47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115 826 391,04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119 349 050,05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140 277 518,56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134 956 861,00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136 630 872,00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141 319 505,00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115 672 700,00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15 190 100,00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15 654 300,00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16 074 100,00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19 659 000,00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16 245 500,00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16 445 000,00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16 404 700,00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708 757 600,00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89 093 000,00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92 509 500,00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93 532 000,00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105 902 900,00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104 984 700,00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109 184 100,00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113 551 400,00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78 775 872,12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10 562 874,47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7 662 591,04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9 742 950,05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14 715 618,56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13 726 661,00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11 001 772,00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11 363 405,00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903 206 172,12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114 845 974,47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115 826 391,04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119 349 050,05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140 277 518,56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134 956 861,00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136 630 872,00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141 319 505,00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115 672 700,00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15 190 100,00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15 654 300,00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16 074 100,00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19 659 000,00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16 245 500,00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16 445 000,00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16 404 700,00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708 757 600,00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89 093 000,00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92 509 500,00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93 532 000,00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105 902 900,00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104 984 700,00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109 184 100,00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113 551 400,00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78 775 872,12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10 562 874,47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7 662 591,04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9 742 950,05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14 715 618,56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13 726 661,00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11 001 772,00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11 363 405,00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ПОДПРОГРАММА  1. МЕРЫ СОЦИАЛЬНОЙ ЗАЩИТЫ И СОЦИАЛЬНОЙ ПОДДЕРЖКИ НАСЕЛЕНИЯ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12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ВСЕГО ПО ПОДПРОГРАММЕ, В ТОМ ЧИСЛЕ: МЕРЫ СОЦИАЛЬНОЙ ЗАЩИТЫ И СОЦИАЛЬНОЙ ПОДДЕРЖКИ НАСЕЛЕНИЯ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891 400 522,32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111 187 034,00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115 519 991,04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118 622 650,05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135 355 440,23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133 377 830,00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136 324 472,00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141 013 105,00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115 672 700,00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15 190 100,00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15 654 300,00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16 074 100,00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19 659 000,00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16 245 500,00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16 445 000,00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16 404 700,00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708 757 600,00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89 093 000,00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92 509 500,00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93 532 000,00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105 902 900,00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104 984 700,00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109 184 100,00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113 551 400,00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66 970 222,32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6 903 934,00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7 356 191,04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9 016 550,05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9 793 540,23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12 147 630,00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10 695 372,00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11 057 005,00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5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891 400 522,32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111 187 034,00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115 519 991,04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118 622 650,05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135 355 440,23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133 377 830,00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136 324 472,00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141 013 105,00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115 672 700,00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15 190 100,00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15 654 300,00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16 074 100,00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19 659 000,00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16 245 500,00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16 445 000,00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16 404 700,00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708 757 600,00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89 093 000,00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92 509 500,00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93 532 000,00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105 902 900,00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104 984 700,00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109 184 100,00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113 551 400,00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66 970 222,32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6 903 934,00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7 356 191,04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9 016 550,05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9 793 540,23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12 147 630,00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10 695 372,00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11 057 005,00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8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1.1. Оказание материальной помощи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2 014 970,00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317 720,00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342 550,00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132 500,00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194 550,00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342 550,00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342 550,00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342 550,00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1.1.1.1., 1.1.1.2.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2 014 970,00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317 720,00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342 550,00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132 500,00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194 550,00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342 550,00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342 550,00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342 550,00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1.2. Выплата пособия инвалидам локальных войн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4 031 485,00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744 000,00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544 000,00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535 485,00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552 000,00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552 000,00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552 000,00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552 000,00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1.1.1.2.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4 031 485,00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744 000,00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544 000,00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535 485,00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552 000,00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552 000,00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552 000,00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552 000,00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9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1.3. Предоставление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6 628 200,00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934 200,00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294 000,00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2 500 000,00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1.1.2.1., 1.1.2.2.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6 628 200,00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934 200,00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294 000,00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2 500 000,00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16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1.4. Предоставление субсидий юридическим лицам и индивидуальным предпринимателям, осуществляющим регулярные пассажирские перевозки по социально значимым маршрутам и рейсам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1 451 605,00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1 361 107,00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90 498,00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2.2.2.5.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26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1 451 605,00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1 361 107,00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90 498,00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16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1.5. 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772 985 600,00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97 248 300,00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100 830 100,00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102 833 400,00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117 954 900,00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113 964 400,00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118 070 000,00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122 084 500,00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1.1.3.1.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114 994 500,00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15 116 300,00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15 564 800,00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15 982 100,00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19 552 600,00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16 149 100,00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16 342 100,00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16 287 500,00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657 991 100,00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82 132 000,00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85 265 300,00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86 851 300,00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98 402 300,00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97 815 300,00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101 727 900,00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105 797 000,00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8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1.6. Предоставление гражданам субсидий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50 766 500,00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6 961 000,00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7 244 200,00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6 680 700,00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7 500 600,00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7 169 400,00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7 456 200,00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7 754 400,00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1.1.3.2.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50 766 500,00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6 961 000,00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7 244 200,00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6 680 700,00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7 500 600,00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7 169 400,00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7 456 200,00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7 754 400,00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7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1.7. 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678 200,00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73 800,00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89 500,00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92 000,00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96 400,00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102 900,00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117 200,00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1.1.3.3.</w:t>
            </w:r>
          </w:p>
        </w:tc>
      </w:tr>
      <w:tr w:rsidR="00412253" w:rsidTr="008A78CE">
        <w:trPr>
          <w:cantSplit/>
          <w:trHeight w:val="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678 200,00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73 800,00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89 500,00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92 000,00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96 400,00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102 900,00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117 200,00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4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1.8. Пенсионное обеспечение муниципальных служащих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52 448 962,32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4 843 014,00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4 779 534,04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7 708 067,05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7 981 990,23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8 693 080,00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9 040 822,00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9 402 455,00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1.1.1.3.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52 448 962,32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4 843 014,00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4 779 534,04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7 708 067,05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7 981 990,23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8 693 080,00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9 040 822,00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9 402 455,00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10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1.9. Реализация Решения Думы городского округа Заречный от 30.11.2017 № 142-Р "Положение о присвоении звания "Почетный гражданин городского округа Заречный"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395 000,00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65 000,00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65 000,00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1.1.1.4.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395 000,00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65 000,00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65 000,00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ПОДПРОГРАММА  2. ДОСТУПНАЯ СРЕДА ДЛЯ ИНВАЛИДОВ И МАЛОМОБИЛЬНЫХ ГРУПП НАСЕЛЕНИЯ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1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39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ВСЕГО ПО ПОДПРОГРАММЕ, В ТОМ ЧИСЛЕ: ДОСТУПНАЯ СРЕДА ДЛЯ ИНВАЛИДОВ И МАЛОМОБИЛЬНЫХ ГРУПП НАСЕЛЕНИЯ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9 566 569,80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3 242 940,47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420 000,00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4 615 678,33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1 287 951,00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9 566 569,80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3 242 940,47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420 000,00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4 615 678,33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1 287 951,00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6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9 566 569,80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3 242 940,47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420 000,00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4 615 678,33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1 287 951,00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9 566 569,80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3 242 940,47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420 000,00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4 615 678,33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1 287 951,00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2.1. Ведение автоматизированной системы учета «Доступная среда Свердловской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2.2.1.1.</w:t>
            </w:r>
          </w:p>
        </w:tc>
      </w:tr>
      <w:tr w:rsidR="00412253" w:rsidTr="008A78CE">
        <w:trPr>
          <w:cantSplit/>
          <w:trHeight w:val="31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2.2. Проведение ежемесячного мониторинга предоставления паспортов доступности объектов социальной инфраструктуры в управления социальной политики города путем запроса информации об учреждениях, не сдавших паспорта доступности, и направления данных в структурные подразделения Администрации города для принятия соответствующих мер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2.2.1.1.</w:t>
            </w:r>
          </w:p>
        </w:tc>
      </w:tr>
      <w:tr w:rsidR="00412253" w:rsidTr="008A78CE">
        <w:trPr>
          <w:cantSplit/>
          <w:trHeight w:val="13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2.3. Проведение акций «Жизнь без барьеров» по осмотру объектов социальной инфраструктуры города, оборудованных и не оборудованных элементами доступности для инвалидов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2.2.1.1.</w:t>
            </w:r>
          </w:p>
        </w:tc>
      </w:tr>
      <w:tr w:rsidR="00412253" w:rsidTr="008A78CE">
        <w:trPr>
          <w:cantSplit/>
          <w:trHeight w:val="14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47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2.4. Согласование проектов на строительство зданий и сооружений на предмет их доступности для маломобильных жителей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2.2.1.1.</w:t>
            </w:r>
          </w:p>
        </w:tc>
      </w:tr>
      <w:tr w:rsidR="00412253" w:rsidTr="008A78CE">
        <w:trPr>
          <w:cantSplit/>
          <w:trHeight w:val="10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2.5. Актуализация паспортов доступности объектов социальной инфраструктуры города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2.2.1.1.</w:t>
            </w:r>
          </w:p>
        </w:tc>
      </w:tr>
      <w:tr w:rsidR="00412253" w:rsidTr="008A78CE">
        <w:trPr>
          <w:cantSplit/>
          <w:trHeight w:val="2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2.6. Оборудование объектов социальной инфраструктуры приспособлениями для обеспечения их физической доступности для инвалидов с нарушениями опорно-двигательного аппарата (пандусами, подъемными платформами, лифтами)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1 587 951,00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1 287 951,00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2.2.1.1.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1 587 951,00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1 287 951,00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5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2.7. Оборудование объектов социальной инфраструктуры приспособлениями для обеспечения их физической доступности для инвалидов с нарушениями зрения (тактильные указатели, информационные указатели, контрастные указатели, определяющие преграды на пути движения)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2.2.1.1.</w:t>
            </w:r>
          </w:p>
        </w:tc>
      </w:tr>
      <w:tr w:rsidR="00412253" w:rsidTr="008A78CE">
        <w:trPr>
          <w:cantSplit/>
          <w:trHeight w:val="298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52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Мероприятие 2.8. Оборудование объектов социальной инфраструктуры приспособлениями для обеспечения их физической доступности для инвалидов с нарушениями слуха (дублирование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2.2.1.1.</w:t>
            </w:r>
          </w:p>
        </w:tc>
      </w:tr>
      <w:tr w:rsidR="00412253" w:rsidTr="008A78CE">
        <w:trPr>
          <w:cantSplit/>
          <w:trHeight w:val="12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2.9. Приобретение адаптированного транспорта для перевозки люде</w:t>
            </w:r>
            <w:r w:rsidR="00F779C4">
              <w:rPr>
                <w:rFonts w:ascii="Liberation Serif" w:hAnsi="Liberation Serif"/>
                <w:color w:val="000000"/>
                <w:sz w:val="18"/>
                <w:szCs w:val="18"/>
              </w:rPr>
              <w:t>й с ограниченными возможностями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здоровья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4 315 678,33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4 315 678,33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2.2.2.5.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4 315 678,33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4 315 678,33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30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2.10. Обеспечение д</w:t>
            </w:r>
            <w:r w:rsidR="00F779C4">
              <w:rPr>
                <w:rFonts w:ascii="Liberation Serif" w:hAnsi="Liberation Serif"/>
                <w:color w:val="000000"/>
                <w:sz w:val="18"/>
                <w:szCs w:val="18"/>
              </w:rPr>
              <w:t>оступности светофорных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2.2.2.3.</w:t>
            </w:r>
          </w:p>
        </w:tc>
      </w:tr>
      <w:tr w:rsidR="00412253" w:rsidTr="008A78CE">
        <w:trPr>
          <w:cantSplit/>
          <w:trHeight w:val="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2.11. Обеспечение доступности пешеходных перекрестков (понижение бортового камня)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2.2.2.1.</w:t>
            </w:r>
          </w:p>
        </w:tc>
      </w:tr>
      <w:tr w:rsidR="00412253" w:rsidTr="008A78CE">
        <w:trPr>
          <w:cantSplit/>
          <w:trHeight w:val="10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2.12. Оборудование остановочных комплексов тактильными табличками и информационными табло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2.2.2.4.</w:t>
            </w:r>
          </w:p>
        </w:tc>
      </w:tr>
      <w:tr w:rsidR="00412253" w:rsidTr="008A78CE">
        <w:trPr>
          <w:cantSplit/>
          <w:trHeight w:val="12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2.13. Оборудование стоянок автотранспорта у социально значимых объектов парковочными местами для автотранспорта инвалидов и МГН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2.2.2.2.</w:t>
            </w:r>
          </w:p>
        </w:tc>
      </w:tr>
      <w:tr w:rsidR="00412253" w:rsidTr="008A78CE">
        <w:trPr>
          <w:cantSplit/>
          <w:trHeight w:val="12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59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2.14. Организация проведения обучающих семинаров, информационных встреч, круглых столов для представителей органов и учреждений социальной сферы города.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2.2.3.1.</w:t>
            </w:r>
          </w:p>
        </w:tc>
      </w:tr>
      <w:tr w:rsidR="00412253" w:rsidTr="008A78CE">
        <w:trPr>
          <w:cantSplit/>
          <w:trHeight w:val="1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Мероприятие 2.15. Осуществление мониторинга формирования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безбарьерной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среды жизнедеятельности инвалидов на территории городского округа Заречный.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2.2.1.1.</w:t>
            </w:r>
          </w:p>
        </w:tc>
      </w:tr>
      <w:tr w:rsidR="00412253" w:rsidTr="008A78CE">
        <w:trPr>
          <w:cantSplit/>
          <w:trHeight w:val="24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Мероприятие 2.16. Разработка методики проведения соцопроса граждан с ограниченными возможностями здоровья на выяснение степени удовлетворенности условиями, созданными для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безбарьерной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среды жизнедеятельности инвалидов на территории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2.2.1.1.</w:t>
            </w:r>
          </w:p>
        </w:tc>
      </w:tr>
      <w:tr w:rsidR="00412253" w:rsidTr="008A78CE">
        <w:trPr>
          <w:cantSplit/>
          <w:trHeight w:val="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2.17. Обеспечение трудоустройства инвалидов на специально созданные рабочие места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2.2.1.1.</w:t>
            </w:r>
          </w:p>
        </w:tc>
      </w:tr>
      <w:tr w:rsidR="00412253" w:rsidTr="008A78CE">
        <w:trPr>
          <w:cantSplit/>
          <w:trHeight w:val="152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2.18. Организация и проведение социокультурных и спортивных мероприятий с участием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2.2.1.1.</w:t>
            </w:r>
          </w:p>
        </w:tc>
      </w:tr>
      <w:tr w:rsidR="00412253" w:rsidTr="008A78CE">
        <w:trPr>
          <w:cantSplit/>
          <w:trHeight w:val="14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64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2.19. Размещение в СМИ социальной рекламы о необходимости создания доступной среды жизнедеятельности инвалидов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2.2.1.1.</w:t>
            </w:r>
          </w:p>
        </w:tc>
      </w:tr>
      <w:tr w:rsidR="00412253" w:rsidTr="008A78CE">
        <w:trPr>
          <w:cantSplit/>
          <w:trHeight w:val="1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2.20. Освещение в средствах массовой информации мероприятий по обеспечению доступности объектов социальной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2.2.1.1.</w:t>
            </w:r>
          </w:p>
        </w:tc>
      </w:tr>
      <w:tr w:rsidR="00412253" w:rsidTr="008A78CE">
        <w:trPr>
          <w:cantSplit/>
          <w:trHeight w:val="1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2.21. Обустройство элементами доступности пешеходных зон (путей) и проездов для передвижения маломобильных групп населения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1 953 994,00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1 953 994,00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2.2.4.1.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1 953 994,00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1 953 994,00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1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2.22. Предоставление субсидий юридическим лицам (индивидуальным предпринимателям) на обустройство общего имущества в многоквартирных домах, для обеспечения условий доступности для инвалидов и других мало мобильных групп населения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1 708 946,47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1 288 946,47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420 000,00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2.2.4.2.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1 708 946,47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1 288 946,47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420 000,00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ПОДПРОГРАММА  3. ПРОФИЛАКТИКА НАРКОМАНИИ И ПРОТИВОДЕЙСТВИЕ НЕЗАКОННОМУ ОБОРОТУ НАРКОТИКОВ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14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ВСЕГО ПО ПОДПРОГРАММЕ, В ТОМ ЧИСЛЕ: ПРОФИЛАКТИКА НАРКОМАНИИ И ПРОТИВОДЕЙСТВИЕ НЕЗАКОННОМУ ОБОРОТУ НАРКОТИКОВ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72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5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trHeight w:val="118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3.1. Проведение социологических исследований «Подросток и здоровый образ жизни», «Социальная адаптация несовершеннолетних»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3.3.1.3., 3.3.2.2.</w:t>
            </w:r>
          </w:p>
        </w:tc>
      </w:tr>
      <w:tr w:rsidR="00412253" w:rsidTr="008A78CE">
        <w:trPr>
          <w:cantSplit/>
          <w:trHeight w:val="17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3.2. Проведение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3.3.1.1.</w:t>
            </w:r>
          </w:p>
        </w:tc>
      </w:tr>
      <w:tr w:rsidR="00412253" w:rsidTr="008A78CE">
        <w:trPr>
          <w:cantSplit/>
          <w:trHeight w:val="18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3.3. Введение ограничений на реализацию    спиртосодержащей продукции при проведении массовых городских мероприятий и выявления случаев отравлений   спиртосодержащей     продукцией среди населения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3.3.2.2.</w:t>
            </w:r>
          </w:p>
        </w:tc>
      </w:tr>
      <w:tr w:rsidR="00412253" w:rsidTr="008A78CE">
        <w:trPr>
          <w:cantSplit/>
          <w:trHeight w:val="9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3.4. Проведение коррекционных психологических занятий с подростками группы социального риска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3.3.1.3.</w:t>
            </w:r>
          </w:p>
        </w:tc>
      </w:tr>
      <w:tr w:rsidR="00412253" w:rsidTr="008A78CE">
        <w:trPr>
          <w:cantSplit/>
          <w:trHeight w:val="7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Мероприятие 3.5. Организация и проведение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тренинговых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занятий с подростками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3.3.1.3.</w:t>
            </w:r>
          </w:p>
        </w:tc>
      </w:tr>
      <w:tr w:rsidR="00412253" w:rsidTr="008A78CE">
        <w:trPr>
          <w:cantSplit/>
          <w:trHeight w:val="152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3.6. Реализация информационно-библиотечных проектов профилактической направленности «Территория жизни», «Экология человека», «Мы не зависимы»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3.3.3.1.</w:t>
            </w:r>
          </w:p>
        </w:tc>
      </w:tr>
      <w:tr w:rsidR="00412253" w:rsidTr="008A78CE">
        <w:trPr>
          <w:cantSplit/>
          <w:trHeight w:val="113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80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3.7. Организация и проведение тематических культурно-досуговых и оздоровительно-  спортивных мероприятий по пропаганде здорового образа жизни, профилактике наркомании, токсикомании и   алкоголизма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3.3.1.2., 3.3.1.3., 3.3.2.4.</w:t>
            </w:r>
          </w:p>
        </w:tc>
      </w:tr>
      <w:tr w:rsidR="00412253" w:rsidTr="008A78CE">
        <w:trPr>
          <w:cantSplit/>
          <w:trHeight w:val="11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3.8. Ежегодное проведение традиционных городских физкультурно-оздоровительных и культурно-массовых мероприятий (Мотокросс, Кросс наций, Лыжня России, Футбольная страна, семейные старты и т.д.)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3.3.1.2., 3.3.1.3., 3.3.2.4.</w:t>
            </w:r>
          </w:p>
        </w:tc>
      </w:tr>
      <w:tr w:rsidR="00412253" w:rsidTr="008A78CE">
        <w:trPr>
          <w:cantSplit/>
          <w:trHeight w:val="9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3.9. Организация психологического консультирования молодежи, родителей и педагогов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3.3.1.3.</w:t>
            </w:r>
          </w:p>
        </w:tc>
      </w:tr>
      <w:tr w:rsidR="00412253" w:rsidTr="008A78CE">
        <w:trPr>
          <w:cantSplit/>
          <w:trHeight w:val="45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3.10. Организация родительского «всеобуча» для родителей учащихся по профилактике наркомании, ВИЧ-инфекции и заболеваний, передающихся половым путем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3.3.2.2.</w:t>
            </w:r>
          </w:p>
        </w:tc>
      </w:tr>
      <w:tr w:rsidR="00412253" w:rsidTr="008A78CE">
        <w:trPr>
          <w:cantSplit/>
          <w:trHeight w:val="19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Мероприятие 3.11. Медицинское освидетельствование на состояние опьянения, сотрудников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техногенно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-опасных предприятий, выявление лиц, употребляющих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психоактивные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вещества, в рамках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предсменного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контроля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3.3.2.1.</w:t>
            </w:r>
          </w:p>
        </w:tc>
      </w:tr>
      <w:tr w:rsidR="00412253" w:rsidTr="008A78CE">
        <w:trPr>
          <w:cantSplit/>
          <w:trHeight w:val="113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85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3.12. Участие в работе призывной комиссии военного комиссариата врача нарколога, осмотр граждан призывного возраста, выявление лиц с наркотической патологией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3.3.2.1.</w:t>
            </w:r>
          </w:p>
        </w:tc>
      </w:tr>
      <w:tr w:rsidR="00412253" w:rsidTr="008A78CE">
        <w:trPr>
          <w:cantSplit/>
          <w:trHeight w:val="15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3.13. Обследование парентеральных потребителей наркотических средств «группы риска» лиц, с наркологической патологией на ВИЧ и гемо контактные инфекции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3.3.2.1., 3.3.2.3.</w:t>
            </w:r>
          </w:p>
        </w:tc>
      </w:tr>
      <w:tr w:rsidR="00412253" w:rsidTr="008A78CE">
        <w:trPr>
          <w:cantSplit/>
          <w:trHeight w:val="17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3.14. Организация взаимодействия всех субъектов профилактики по социальной и правовой защите детей, родители которых имеют наркотическую и алкогольную зависимость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3.3.2.1., 3.3.2.3.</w:t>
            </w:r>
          </w:p>
        </w:tc>
      </w:tr>
      <w:tr w:rsidR="00412253" w:rsidTr="008A78CE">
        <w:trPr>
          <w:cantSplit/>
          <w:trHeight w:val="16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3.15. Проведение благотворительных акций по оказанию содействия работе центров по реабилитации людей, находящихся в наркотической, токсической или алкогольной зависимости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3.3.2.3., 3.3.2.4.</w:t>
            </w:r>
          </w:p>
        </w:tc>
      </w:tr>
      <w:tr w:rsidR="00412253" w:rsidTr="008A78CE">
        <w:trPr>
          <w:cantSplit/>
          <w:trHeight w:val="14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3.16. Участие в проведении межведомственных комплексных профилактических мероприятий и акций Всероссийского, областного и муниципального уровней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3.3.3.1.</w:t>
            </w:r>
          </w:p>
        </w:tc>
      </w:tr>
      <w:tr w:rsidR="00412253" w:rsidTr="008A78CE">
        <w:trPr>
          <w:cantSplit/>
          <w:trHeight w:val="1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90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3.17. Оказание содействия общественным объединениям и некоммерческим организациям в реализации проектов, направленных на первичную профилактику наркомании и организацию занятости детей, подростков и молодежи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3.3.2.4.</w:t>
            </w:r>
          </w:p>
        </w:tc>
      </w:tr>
      <w:tr w:rsidR="00412253" w:rsidTr="008A78CE">
        <w:trPr>
          <w:cantSplit/>
          <w:trHeight w:val="198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3.18. Привлечение казачьих, общественных организаций к проведению профилактических мероприятий, рейдов и операций по профилактике наркомании, токсикомании и алкоголизма в молодежной среде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3.3.2.4.</w:t>
            </w:r>
          </w:p>
        </w:tc>
      </w:tr>
      <w:tr w:rsidR="00412253" w:rsidTr="008A78CE">
        <w:trPr>
          <w:cantSplit/>
          <w:trHeight w:val="11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3.19. Совершенствование взаимодействия с религиозными конфессиями в сфере духовно-нравственного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3.3.2.4.</w:t>
            </w:r>
          </w:p>
        </w:tc>
      </w:tr>
      <w:tr w:rsidR="00412253" w:rsidTr="008A78CE">
        <w:trPr>
          <w:cantSplit/>
          <w:trHeight w:val="16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3.20. Организация и участие субъектов профилактики наркомании в проведении мероприятий Всероссийской акции «Сообщи, где торгуют смертью» с привлечением волонтеров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3.3.3.1.</w:t>
            </w:r>
          </w:p>
        </w:tc>
      </w:tr>
      <w:tr w:rsidR="00412253" w:rsidTr="008A78CE">
        <w:trPr>
          <w:cantSplit/>
          <w:trHeight w:val="16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Мероприятие 3.21. Организация информирования органов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наркоконтроля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и полиции о всех случаях передозировок наркотическими и психотропными веществами Скорой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3.3.2.1., 3.3.2.2.</w:t>
            </w:r>
          </w:p>
        </w:tc>
      </w:tr>
      <w:tr w:rsidR="00412253" w:rsidTr="008A78CE">
        <w:trPr>
          <w:cantSplit/>
          <w:trHeight w:val="14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95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3.22. Проведение целевых    профилактических мероприятий по проверке мест проживания и концентрации иностранных граждан и лиц без гражданства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3.3.2.1.</w:t>
            </w:r>
          </w:p>
        </w:tc>
      </w:tr>
      <w:tr w:rsidR="00412253" w:rsidTr="008A78CE">
        <w:trPr>
          <w:cantSplit/>
          <w:trHeight w:val="8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3.23. Проведение профилактических операций «Мак», «Подросток- игла»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3.3.3.1.</w:t>
            </w:r>
          </w:p>
        </w:tc>
      </w:tr>
      <w:tr w:rsidR="00412253" w:rsidTr="008A78CE">
        <w:trPr>
          <w:cantSplit/>
          <w:trHeight w:val="19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Мероприятие 3.24. Проведение мониторинга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наркоситуации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и анализа состояния преступности, связанной с незаконным оборотом наркотиков и употреблением гражданами наркотических веществ и алкогольной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3.3.1.3.</w:t>
            </w:r>
          </w:p>
        </w:tc>
      </w:tr>
      <w:tr w:rsidR="00412253" w:rsidTr="008A78CE">
        <w:trPr>
          <w:cantSplit/>
          <w:trHeight w:val="17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3.25. Участие в проведении профилактических мероприятий с безнадзорными и беспризорными несовершеннолетними и несовершеннолетними, оказавшимися в социально- опасном положении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3.3.2.2.</w:t>
            </w:r>
          </w:p>
        </w:tc>
      </w:tr>
      <w:tr w:rsidR="00412253" w:rsidTr="008A78CE">
        <w:trPr>
          <w:cantSplit/>
          <w:trHeight w:val="174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3.26. Организация и проведение акций, посвященных: Международному дню борьбы против злоупотребления наркотиками и их незаконного оборота - 26 июня; Дню трезвости - 12 сентября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3.3.1.3.</w:t>
            </w:r>
          </w:p>
        </w:tc>
      </w:tr>
      <w:tr w:rsidR="00412253" w:rsidTr="008A78CE">
        <w:trPr>
          <w:cantSplit/>
          <w:trHeight w:val="10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100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3.27. Организация временного   трудоустройства несовершеннолетних граждан в возрасте от 14 до 18 лет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3.3.1.3.</w:t>
            </w:r>
          </w:p>
        </w:tc>
      </w:tr>
      <w:tr w:rsidR="00412253" w:rsidTr="008A78CE">
        <w:trPr>
          <w:cantSplit/>
          <w:trHeight w:val="26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3.28. Организация размещения официальной информации о мерах профилактики наркомании и результатов оперативно-служебной деятельности служб уголовного розыска и сотрудников МРО УФСКН по противодействию незаконному обороту наркотиков на территории   округа в городских СМИ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3.3.2.3.</w:t>
            </w:r>
          </w:p>
        </w:tc>
      </w:tr>
      <w:tr w:rsidR="00412253" w:rsidTr="008A78CE">
        <w:trPr>
          <w:cantSplit/>
          <w:trHeight w:val="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3.29. Организация Всероссийского интернет-урока «Имею право знать» в образовательных учреждениях округа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3.3.1.3.</w:t>
            </w:r>
          </w:p>
        </w:tc>
      </w:tr>
      <w:tr w:rsidR="00412253" w:rsidTr="008A78CE">
        <w:trPr>
          <w:cantSplit/>
          <w:trHeight w:val="12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3.30. Информирование населения о мерах профилактики наркомании, токсикомании и алкоголизма через печатные и электронные СМИ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3.3.1.3.</w:t>
            </w:r>
          </w:p>
        </w:tc>
      </w:tr>
      <w:tr w:rsidR="00412253" w:rsidTr="008A78CE">
        <w:trPr>
          <w:cantSplit/>
          <w:trHeight w:val="12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3.31. Ежеквартальное проведение заседаний антинаркотической    комиссии с приглашением всех субъектов профилактики наркомании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3.3.2.3.</w:t>
            </w:r>
          </w:p>
        </w:tc>
      </w:tr>
      <w:tr w:rsidR="00412253" w:rsidTr="008A78CE">
        <w:trPr>
          <w:cantSplit/>
          <w:trHeight w:val="19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3.32. Ежегодное проведение обучающих семинаров для педагогов города: «Особенности формирования   зависимости и со зависимого поведения», «Вопросы профилактики асоциальных явлений в молодежной среде»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3.3.4.1.</w:t>
            </w:r>
          </w:p>
        </w:tc>
      </w:tr>
      <w:tr w:rsidR="00412253" w:rsidTr="008A78CE">
        <w:trPr>
          <w:cantSplit/>
          <w:trHeight w:val="16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106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3.33. Создание и обновление уголков наглядной агитации в МОУ по проблемам наркомании, ВИЧ-инфекции, СПИД учащихся. Размещение информации на школьных сайтах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3.3.1.3.</w:t>
            </w:r>
          </w:p>
        </w:tc>
      </w:tr>
      <w:tr w:rsidR="00412253" w:rsidTr="008A78CE">
        <w:trPr>
          <w:cantSplit/>
          <w:trHeight w:val="9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3.34. Участие специалистов в областных и региональных обучающих семинарах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3.3.4.1.</w:t>
            </w:r>
          </w:p>
        </w:tc>
      </w:tr>
      <w:tr w:rsidR="00412253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ПОДПРОГРАММА  4. ГАРМОНИЗАЦИЯ МЕЖНАЦИОНАЛЬНЫХ И МЕЖКОНФЕССИОНАЛЬНЫХ ОТНОШЕНИЙ, ПРОФИЛАКТИКА ЭКСТРЕМИЗМА НА ТЕРРИТОРИИ ГОРОДСКОГО ОКРУГА ЗАРЕЧНЫЙ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21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ВСЕГО ПО ПОДПРОГРАММЕ, В ТОМ ЧИСЛЕ: ГАРМОНИЗАЦИЯ МЕЖНАЦИОНАЛЬНЫХ И МЕЖКОНФЕССИОНАЛЬНЫХ ОТНОШЕНИЙ, ПРОФИЛАКТИКА ЭКСТРЕМИЗМА НА ТЕРРИТОРИИ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1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4.1. 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4.4.1.1., 4.4.3.1.</w:t>
            </w:r>
          </w:p>
        </w:tc>
      </w:tr>
      <w:tr w:rsidR="00412253" w:rsidTr="008A78CE">
        <w:trPr>
          <w:cantSplit/>
          <w:trHeight w:val="25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115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4.2. Анализ информации об очагах межнациональной напряжённости, фактах бытовых или криминальных конфликтов, хулиганских действий, способных негативным образом повлиять на состояние межнациональных и межконфессиональных отношений и принятие мер по их локализации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4.4.1.1., 4.4.3.1.</w:t>
            </w:r>
          </w:p>
        </w:tc>
      </w:tr>
      <w:tr w:rsidR="00412253" w:rsidTr="008A78CE">
        <w:trPr>
          <w:cantSplit/>
          <w:trHeight w:val="182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4.3. Мониторинг печатных и электронных СМИ городского округа Заречный с целью выявления негативных социально-экономических ситуаций в городском округе Заречный, создающих благоприятную почву для экстремистских проявлений и актов терроризма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4.4.1.1., 4.4.3.1.</w:t>
            </w:r>
          </w:p>
        </w:tc>
      </w:tr>
      <w:tr w:rsidR="00412253" w:rsidTr="008A78CE">
        <w:trPr>
          <w:cantSplit/>
          <w:trHeight w:val="12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4.4. Мониторинг ситуации по формированию трудовых общин мигрантов на территории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4.4.1.1., 4.4.3.1.</w:t>
            </w:r>
          </w:p>
        </w:tc>
      </w:tr>
      <w:tr w:rsidR="00412253" w:rsidTr="008A78CE">
        <w:trPr>
          <w:cantSplit/>
          <w:trHeight w:val="12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4.5. Мониторинг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4.4.1.1., 4.4.3.1.</w:t>
            </w:r>
          </w:p>
        </w:tc>
      </w:tr>
      <w:tr w:rsidR="00412253" w:rsidTr="008A78CE">
        <w:trPr>
          <w:cantSplit/>
          <w:trHeight w:val="19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119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4.6. Мониторинг политических, социально-экономических и иных процессов, оказывающих влияние на ситуацию в сфере гармонизации межнациональных и межконфессиональных отношений и профилактики экстремизма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4.4.1.1., 4.4.3.1.</w:t>
            </w:r>
          </w:p>
        </w:tc>
      </w:tr>
      <w:tr w:rsidR="00412253" w:rsidTr="008A78CE">
        <w:trPr>
          <w:cantSplit/>
          <w:trHeight w:val="16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120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4.7. Организация мониторинга в подростково-молодежной 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4.4.1.1.</w:t>
            </w:r>
          </w:p>
        </w:tc>
      </w:tr>
      <w:tr w:rsidR="00412253" w:rsidTr="008A78CE">
        <w:trPr>
          <w:cantSplit/>
          <w:trHeight w:val="17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121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4.8. Мониторинг и оценка текущей ситуации в области предоставления услуг для мигрантов с помощью регистрации данных, получаемых в ходе личного консультирования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4.4.3.1.</w:t>
            </w:r>
          </w:p>
        </w:tc>
      </w:tr>
      <w:tr w:rsidR="00412253" w:rsidTr="008A78CE">
        <w:trPr>
          <w:cantSplit/>
          <w:trHeight w:val="32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122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Мероприятие 4.9. Организация проведения мониторинга ситуации в сфере межнациональных и межконфессиональных отношений, противодействия экстремизму в образовательной среде, в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 обеспечение контроля эффективности контент-фильтров, препятствующих доступу к интернет 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4.4.1.1., 4.4.3.1.</w:t>
            </w:r>
          </w:p>
        </w:tc>
      </w:tr>
      <w:tr w:rsidR="00412253" w:rsidTr="008A78CE">
        <w:trPr>
          <w:cantSplit/>
          <w:trHeight w:val="12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123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4.10. Обход территории города с целью выявления фактов нанесения на объекты муниципальной собственности, иные сооружения нацистской атрибутики или символики либо атрибутики, сходной с нацистской атрибутикой или символикой, символики экстремистских организаций, размещения экстремистских и деструктивных размещений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4.4.1.1.</w:t>
            </w:r>
          </w:p>
        </w:tc>
      </w:tr>
      <w:tr w:rsidR="00412253" w:rsidTr="008A78CE">
        <w:trPr>
          <w:cantSplit/>
          <w:trHeight w:val="14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124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4.11. Организация проведения ревизии библиотечного фонда с целью выявления литературы, запрещенной или ограниченной для распространения среди детей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4.4.3.1.</w:t>
            </w:r>
          </w:p>
        </w:tc>
      </w:tr>
      <w:tr w:rsidR="00412253" w:rsidTr="008A78CE">
        <w:trPr>
          <w:cantSplit/>
          <w:trHeight w:val="304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125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4.12. Организация работы на объектах муниципальных учреждений образования, культуры, спорта и социального обслуживания по недопущению использования их площадей для проведения мероприятий (сборов, собраний, встреч и т.д.) организаций, признанных экстремистскими, или в отношении которых имеются данные о признаках экстремистской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4.4.1.1.</w:t>
            </w:r>
          </w:p>
        </w:tc>
      </w:tr>
      <w:tr w:rsidR="00412253" w:rsidTr="008A78CE">
        <w:trPr>
          <w:cantSplit/>
          <w:trHeight w:val="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126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4.13. Проведение заседаний межведомственной комиссии по профилактике экстремизма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4.4.2.1.</w:t>
            </w:r>
          </w:p>
        </w:tc>
      </w:tr>
      <w:tr w:rsidR="00412253" w:rsidTr="008A78CE">
        <w:trPr>
          <w:cantSplit/>
          <w:trHeight w:val="17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127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4.14. Повышение профессионального уровня сотрудников, задействованных в сфере гармонизации межнациональных и межконфессиональных отношений, противодействия экстремизму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4.4.1.1., 4.4.6.1.</w:t>
            </w:r>
          </w:p>
        </w:tc>
      </w:tr>
      <w:tr w:rsidR="00412253" w:rsidTr="008A78CE">
        <w:trPr>
          <w:cantSplit/>
          <w:trHeight w:val="2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128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4.15. Организация взаимодействия с руководителями национальных и религиозных организаций (объединений) по вопросам профилактики экстремистских проявлений в сфере межнациональных и межконфессиональных отношений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4.4.2.2., 4.4.4.1., 4.4.4.2.</w:t>
            </w:r>
          </w:p>
        </w:tc>
      </w:tr>
      <w:tr w:rsidR="00412253" w:rsidTr="008A78CE">
        <w:trPr>
          <w:cantSplit/>
          <w:trHeight w:val="31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129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4.16. Предоставление субсидий некоммерческим организациям на реализацию мероприятий по гражданско-патриотическому воспитанию молодежи, формированию у молодежи российской идентичности (россияне), осуществляющим деятельность по профилактике экстремистских проявлений в сфере межнациональных и межконфессиональных отношений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4.4.2.2., 4.4.4.1., 4.4.4.2.</w:t>
            </w:r>
          </w:p>
        </w:tc>
      </w:tr>
      <w:tr w:rsidR="00412253" w:rsidTr="008A78CE">
        <w:trPr>
          <w:cantSplit/>
          <w:trHeight w:val="18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4.17. Проведение мероприятий по адаптации и интеграции трудящихся мигрантов через изучение русского языка и повышение уровня их информированности относительно основных прав и обязанностей на территории РФ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4.4.3.1.</w:t>
            </w:r>
          </w:p>
        </w:tc>
      </w:tr>
      <w:tr w:rsidR="00412253" w:rsidTr="008A78CE">
        <w:trPr>
          <w:cantSplit/>
          <w:trHeight w:val="15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4.18. Оказание содействия в трудоустройстве, повышении квалификации и прохождения курсов профессиональной переподготовки трудящимся мигрантам, включая организованный набор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4.4.3.1.</w:t>
            </w:r>
          </w:p>
        </w:tc>
      </w:tr>
      <w:tr w:rsidR="00412253" w:rsidTr="008A78CE">
        <w:trPr>
          <w:cantSplit/>
          <w:trHeight w:val="31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132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4.19. 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мероприятий, посвященных «Дню народов Среднего Урала», «Дню народного единства»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4.4.4.1., 4.4.4.2., 4.4.5.1., 4.4.5.2., 4.4.5.3., 4.4.6.1.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44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4.20. Организация и проведения культурных и исторических мероприятий (митингов, собраний, концертов, выставок, бесед и т.п.) посвященных государственным, дням воинской славы и памятным датам России, национальным и конфессиональным праздникам и памятным датам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4.4.4.1., 4.4.4.2., 4.4.5.1., 4.4.5.2., 4.4.5.3., 4.4.6.1.</w:t>
            </w:r>
          </w:p>
        </w:tc>
      </w:tr>
      <w:tr w:rsidR="00412253" w:rsidTr="008A78CE">
        <w:trPr>
          <w:cantSplit/>
          <w:trHeight w:val="10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4.21. Проведение совместных мероприятий с Каменской Епархией в рамках заключенного Соглашения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4.4.4.2.</w:t>
            </w:r>
          </w:p>
        </w:tc>
      </w:tr>
      <w:tr w:rsidR="00412253" w:rsidTr="008A78CE">
        <w:trPr>
          <w:cantSplit/>
          <w:trHeight w:val="11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4.22. Реализация на базе Центральной библиотеки проекта «Из рук в руки» в рамках «Школы толерантности»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4.4.6.1.</w:t>
            </w:r>
          </w:p>
        </w:tc>
      </w:tr>
      <w:tr w:rsidR="00412253" w:rsidTr="008A78CE">
        <w:trPr>
          <w:cantSplit/>
          <w:trHeight w:val="21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137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4.23. Организация в образовательных учреждениях работы по профилактике экстремизма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4.4.5.3.</w:t>
            </w:r>
          </w:p>
        </w:tc>
      </w:tr>
      <w:tr w:rsidR="00412253" w:rsidTr="008A78CE">
        <w:trPr>
          <w:cantSplit/>
          <w:trHeight w:val="24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4.24. Организация и проведение контроля в образовательных организациях эффективности контент-фильтров, препятствующих доступу к интернет-сайтам,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4.4.1.1.</w:t>
            </w:r>
          </w:p>
        </w:tc>
      </w:tr>
      <w:tr w:rsidR="00412253" w:rsidTr="008A78CE">
        <w:trPr>
          <w:cantSplit/>
          <w:trHeight w:val="198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4.25. Изучение опыта работы ОМСУ, осуществляющих управление в сфере образования, по обеспечению комплексной безопасности образовательных учреждений и профилактике экстремизма в молодежной среде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4.4.3.1.</w:t>
            </w:r>
          </w:p>
        </w:tc>
      </w:tr>
      <w:tr w:rsidR="00412253" w:rsidTr="008A78CE">
        <w:trPr>
          <w:cantSplit/>
          <w:trHeight w:val="19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140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Мероприятие 4.26. Проведение в целях профилактики экстремизма инструктажей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антиэкстремистского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характера с охраной и обслуживающим персоналом на объектах образования, культуры и социального обслуживания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4.4.1.1., 4.4.3.1.</w:t>
            </w:r>
          </w:p>
        </w:tc>
      </w:tr>
      <w:tr w:rsidR="00412253" w:rsidTr="008A78CE">
        <w:trPr>
          <w:cantSplit/>
          <w:trHeight w:val="12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141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4.27. Изготовление и размещение социальной рекламы по теме межнационального мира и согласия на территории округа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4.4.6.1.</w:t>
            </w:r>
          </w:p>
        </w:tc>
      </w:tr>
      <w:tr w:rsidR="00412253" w:rsidTr="008A78CE">
        <w:trPr>
          <w:cantSplit/>
          <w:trHeight w:val="29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142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4.28. Информационное сопровождение мероприятий в сфере образования, культуры, физической культуры, спорта и иных, в том числе, массовых мероприятий в округе, направленных на развитие национальных культур,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4.4.6.1.</w:t>
            </w:r>
          </w:p>
        </w:tc>
      </w:tr>
      <w:tr w:rsidR="00412253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143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ПОДПРОГРАММА  5.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144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ВСЕГО ПО ПОДПРОГРАММЕ, В ТОМ ЧИСЛЕ: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145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146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147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148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10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149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5.1. Организация работы межведомственной комиссии по ограничению распространения ВИЧ-инфекции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5.5.1.1.</w:t>
            </w:r>
          </w:p>
        </w:tc>
      </w:tr>
      <w:tr w:rsidR="00412253" w:rsidTr="008A78CE">
        <w:trPr>
          <w:cantSplit/>
          <w:trHeight w:val="31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5.2. 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№855-н/1344-п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5.5.2.4.</w:t>
            </w:r>
          </w:p>
        </w:tc>
      </w:tr>
      <w:tr w:rsidR="00412253" w:rsidTr="008A78CE">
        <w:trPr>
          <w:cantSplit/>
          <w:trHeight w:val="16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5.3. Осуществление экспресс-тестирования для диагностики ВИЧ-инфекции у необследованных и не состоящих на учёте в женской консультации женщин, поступающих на роды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5.5.1.4.</w:t>
            </w:r>
          </w:p>
        </w:tc>
      </w:tr>
      <w:tr w:rsidR="00412253" w:rsidTr="008A78CE">
        <w:trPr>
          <w:cantSplit/>
          <w:trHeight w:val="9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5.4. Реализация мероприятий по профилактике ВИЧ-инфекции в организациях культуры, физической культуры и спорта, молодежной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5.5.1.3.</w:t>
            </w:r>
          </w:p>
        </w:tc>
      </w:tr>
      <w:tr w:rsidR="00412253" w:rsidTr="008A78CE">
        <w:trPr>
          <w:cantSplit/>
          <w:trHeight w:val="19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153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5.5. Оказание содействия общественным объединениям и некоммерческим организациям в реализации проектов, направленных на формирование здорового образа жизни и профилактику ВИЧ-инфекции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5.5.2.2.</w:t>
            </w:r>
          </w:p>
        </w:tc>
      </w:tr>
      <w:tr w:rsidR="00412253" w:rsidTr="008A78CE">
        <w:trPr>
          <w:cantSplit/>
          <w:trHeight w:val="16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5.6. Участие специалистов в областных и региональных обучающих семинарах, курсах, проводимых на базе ГБУЗ СО «Свердловский областной центр профилактики и борьбы со СПИД»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5.5.2.3.</w:t>
            </w:r>
          </w:p>
        </w:tc>
      </w:tr>
      <w:tr w:rsidR="00412253" w:rsidTr="008A78CE">
        <w:trPr>
          <w:cantSplit/>
          <w:trHeight w:val="16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5.7. Организация и проведение мероприятий, направленных на предупреждение и профилактику ВИЧ-инфекции и ЗППП в сфере труда среди работающей и студенческой молодёжи (лекции и беседы, просмотр фильмов и социальных роликов, раздача памяток и буклетов)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5.5.2.1., 5.5.2.2., 5.5.2.4.</w:t>
            </w:r>
          </w:p>
        </w:tc>
      </w:tr>
      <w:tr w:rsidR="00412253" w:rsidTr="008A78CE">
        <w:trPr>
          <w:cantSplit/>
          <w:trHeight w:val="22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Мероприятие 5.8. Организация и проведение анкетирования среди старшеклассников муниципальных образовательных учреждений, студентов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СУЗов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, ВУЗов по вопросам профилактики ВИЧ-инфекции и заболеваний, передаваемых половым путем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5.5.1.2., 5.5.2.3.</w:t>
            </w:r>
          </w:p>
        </w:tc>
      </w:tr>
      <w:tr w:rsidR="00412253" w:rsidTr="008A78CE">
        <w:trPr>
          <w:cantSplit/>
          <w:trHeight w:val="14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157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5.9. Организация родительского «всеобуча» для родителей учащихся по профилактике наркомании, ВИЧ-инфекции и заболеваний, передающихся половым путем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5.5.1.2., 5.5.2.3.</w:t>
            </w:r>
          </w:p>
        </w:tc>
      </w:tr>
      <w:tr w:rsidR="00412253" w:rsidTr="008A78CE">
        <w:trPr>
          <w:cantSplit/>
          <w:trHeight w:val="134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Мероприятие 5.10. Организация проведения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скрининговых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исследований на ВИЧ-инфекцию населения города, подлежащего обязательному обследованию в соответствии с нормативно-правовыми актами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5.5.1.4., 5.5.2.2.</w:t>
            </w:r>
          </w:p>
        </w:tc>
      </w:tr>
      <w:tr w:rsidR="00412253" w:rsidTr="008A78CE">
        <w:trPr>
          <w:cantSplit/>
          <w:trHeight w:val="19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Мероприятие 5.11. Обеспечение консультирования ВИЧ-инфицированных пациентов у нарколога, фтизиатра,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дерматовенеролога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при первичной постановке их на диспансерный учёт и далее при диспансерном наблюдении в 100% случаев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5.5.1.4., 5.5.2.4.</w:t>
            </w:r>
          </w:p>
        </w:tc>
      </w:tr>
      <w:tr w:rsidR="00412253" w:rsidTr="008A78CE">
        <w:trPr>
          <w:cantSplit/>
          <w:trHeight w:val="22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5.12. Обеспечение преемственности между женской консультацией, родильным домом, детской поликлиникой и врачом при диспансерном наблюдении, обследовании и лечении ВИЧ-инфицированных беременных женщин и рождённых ими детей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5.5.1.4.</w:t>
            </w:r>
          </w:p>
        </w:tc>
      </w:tr>
      <w:tr w:rsidR="00412253" w:rsidTr="008A78CE">
        <w:trPr>
          <w:cantSplit/>
          <w:trHeight w:val="12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5.13. Проведение эпидемиологического расследования каждого случая ВИЧ-инфекции и заболевания, передаваемого половым путем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5.5.1.4.</w:t>
            </w:r>
          </w:p>
        </w:tc>
      </w:tr>
      <w:tr w:rsidR="00412253" w:rsidTr="008A78CE">
        <w:trPr>
          <w:cantSplit/>
          <w:trHeight w:val="17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162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5.14. Методическое обеспечение печатной продукцией «Уголков здоровья» (стендов) в учреждениях всех форм собственности, образовательных учреждениях, учреждениях культуры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5.5.2.1., 5.5.2.2.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4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5.15. Размещение информации о мерах профилактики ВИЧ-инфекции и ссылки на сайт ГБУЗ СО «Свердловский областной центр профилактики и борьбы со СПИД» на сайте городского округа Заречный и официальных сайтах учреждений образования и культуры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5.5.2.1., 5.5.2.2.</w:t>
            </w:r>
          </w:p>
        </w:tc>
      </w:tr>
      <w:tr w:rsidR="00412253" w:rsidTr="008A78CE">
        <w:trPr>
          <w:cantSplit/>
          <w:trHeight w:val="89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5.16. Размещение информационных материалов (в том числе аудио-, видеороликов) в муниципальных учреждениях, на транспорте, остановочных комплексах, торгово-развлекательных центрах и местах массового пребывания людей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5.5.2.1., 5.5.2.2.</w:t>
            </w:r>
          </w:p>
        </w:tc>
      </w:tr>
      <w:tr w:rsidR="00412253" w:rsidTr="008A78CE">
        <w:trPr>
          <w:cantSplit/>
          <w:trHeight w:val="20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5.17. Организация массовых профилактических мероприятий с привлечением волонтёров, представителей религиозных организаций по информированию молодёжи о доступных мерах профилактики ВИЧ-инфекции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5.5.2.4.</w:t>
            </w:r>
          </w:p>
        </w:tc>
      </w:tr>
      <w:tr w:rsidR="00412253" w:rsidTr="008A78CE">
        <w:trPr>
          <w:cantSplit/>
          <w:trHeight w:val="12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167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5.18. Включение вопросов профилактики ВИЧ-инфекции и наркомании в тематику классных часов и других внеклассных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5.5.2.3.</w:t>
            </w:r>
          </w:p>
        </w:tc>
      </w:tr>
      <w:tr w:rsidR="00412253" w:rsidTr="008A78CE">
        <w:trPr>
          <w:cantSplit/>
          <w:trHeight w:val="19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5.19. Проведение тематических книжных выставок «СПИД касается каждого», бесед у книжной полки «Не начинай! Не пробуй! Не рискуй!» и др., направленные на формирование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5.5.2.1.</w:t>
            </w:r>
          </w:p>
        </w:tc>
      </w:tr>
      <w:tr w:rsidR="00412253" w:rsidTr="008A78CE">
        <w:trPr>
          <w:cantSplit/>
          <w:trHeight w:val="27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5.20. Организация и проведение мероприятий, направленных на информирование и обучение старшеклассников муниципальных образовательных учреждений, учащихся средних и высших учебных заведений, специалистов учреждений образования по вопросам выявления, лечения и профилактики ВИЧ-инфекции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5.5.2.3.</w:t>
            </w:r>
          </w:p>
        </w:tc>
      </w:tr>
      <w:tr w:rsidR="00412253" w:rsidTr="008A78CE">
        <w:trPr>
          <w:cantSplit/>
          <w:trHeight w:val="22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170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5.21. Проведение информационной компании по привлечению к тестированию на ВИЧ-инфекцию с использованием быстрых тестов, обучающихся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5.5.1.4.</w:t>
            </w:r>
          </w:p>
        </w:tc>
      </w:tr>
      <w:tr w:rsidR="00412253" w:rsidTr="008A78CE">
        <w:trPr>
          <w:cantSplit/>
          <w:trHeight w:val="19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171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5.22. Проведение информационной компании по привлечению к тестированию на ВИЧ-инфекцию с использованием быстрых тестов работающих граждан, проходящих периодические и предварительные медицинские осмотры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5.5.2.2.</w:t>
            </w:r>
          </w:p>
        </w:tc>
      </w:tr>
      <w:tr w:rsidR="00412253" w:rsidTr="008A78CE">
        <w:trPr>
          <w:cantSplit/>
          <w:trHeight w:val="19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172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5.23. Проведение информационной компании по привлечению к тестированию на ВИЧ-инфекцию с использованием быстрых тестов лиц, проходящих диспансеризацию отдельных взрослого групп населения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5.5.2.1., 5.5.2.2.</w:t>
            </w:r>
          </w:p>
        </w:tc>
      </w:tr>
      <w:tr w:rsidR="00412253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173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ПОДПРОГРАММА  6. ПРОФИЛАКТИКА ПРАВОНАРУШЕНИЙ НА ТЕРРИТОРИИ ГОРОДСКОГО ОКРУГА ЗАРЕЧНЫЙ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14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174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ВСЕГО ПО ПОДПРОГРАММЕ, В ТОМ ЧИСЛЕ: ПРОФИЛАКТИКА ПРАВОНАРУШЕНИЙ НА ТЕРРИТОРИИ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2 139 080,00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316 000,00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291 080,00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175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2 139 080,00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316 000,00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291 080,00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176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79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177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2 139 080,00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316 000,00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291 080,00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178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2 139 080,00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316 000,00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291 080,00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1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179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6.1. Подготовка и принятие проектов нормативных правовых актов в сфере профилактики правонарушений на территории городского округа, внесение в них изменений и дополнений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6.6.1.1.</w:t>
            </w:r>
          </w:p>
        </w:tc>
      </w:tr>
      <w:tr w:rsidR="00412253" w:rsidTr="008A78CE">
        <w:trPr>
          <w:cantSplit/>
          <w:trHeight w:val="12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180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6.2. Предоставление субсидий народной дружине, осуществляющей деятельность на территории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1 823 080,00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291 080,00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6.6.1.1., 6.6.2.1., 6.6.3.1., 6.6.3.2.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181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1 823 080,00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291 080,00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306 400,00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11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182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6.3. Профилактика правонарушений на улицах, в местах массового пребывания и отдыха граждан, иных общественных местах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6.6.1.1.</w:t>
            </w:r>
          </w:p>
        </w:tc>
      </w:tr>
      <w:tr w:rsidR="00412253" w:rsidTr="008A78CE">
        <w:trPr>
          <w:cantSplit/>
          <w:trHeight w:val="19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183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6.4. Проведение индивидуальной профилактической работы с гражданами, состоящими на профилактическом учете, в целях предупреждения совершения ими преступлений и административных правонарушений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6.6.2.1.</w:t>
            </w:r>
          </w:p>
        </w:tc>
      </w:tr>
      <w:tr w:rsidR="00412253" w:rsidTr="008A78CE">
        <w:trPr>
          <w:cantSplit/>
          <w:trHeight w:val="118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184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6.5. Проведение отчетов участковых уполномоченных полиции перед населением на закрепленных административных участках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6.6.1.1.</w:t>
            </w:r>
          </w:p>
        </w:tc>
      </w:tr>
      <w:tr w:rsidR="00412253" w:rsidTr="008A78CE">
        <w:trPr>
          <w:cantSplit/>
          <w:trHeight w:val="19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185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6.6. Предупреждение, выявление и пресечение правонарушений в рамках Закона Свердловской области от 14.06.2005 № 52-ОЗ «Об административных правонарушениях на территории Свердловской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6.6.3.1.</w:t>
            </w:r>
          </w:p>
        </w:tc>
      </w:tr>
      <w:tr w:rsidR="00412253" w:rsidTr="008A78CE">
        <w:trPr>
          <w:cantSplit/>
          <w:trHeight w:val="10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186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6.7. Создание правовых условий для добровольного участия граждан РФ в охране общественного порядка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6.6.1.1., 6.6.3.1., 6.6.3.2.</w:t>
            </w:r>
          </w:p>
        </w:tc>
      </w:tr>
      <w:tr w:rsidR="00412253" w:rsidTr="008A78CE">
        <w:trPr>
          <w:cantSplit/>
          <w:trHeight w:val="19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187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6.8. Материально-техническое обеспечение деятельности народной дружины, в соответствии с ч. 2 ст. 21 Федерального закона РФ от 02.04.2014 № 44-ФЗ «Об участии граждан в охране общественного порядка»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6.6.1.1.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188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31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189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6.9. Осуществление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в соответствии с ч. 6 ст. 26 Федерального закона РФ № 44-ФЗ «Об участии граждан в охране общественного порядка»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6.6.1.1.</w:t>
            </w:r>
          </w:p>
        </w:tc>
      </w:tr>
      <w:tr w:rsidR="00412253" w:rsidTr="008A78CE">
        <w:trPr>
          <w:cantSplit/>
          <w:trHeight w:val="19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190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6.10. Осуществление материального стимулирования деятельности народных дружинников, в соответствии с ч. 1 и 2 ст. 26 Федерального закона № 44-ФЗ «Об участии граждан в охране общественного порядка»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166 000,00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166 000,00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6.6.1.1.</w:t>
            </w:r>
          </w:p>
        </w:tc>
      </w:tr>
      <w:tr w:rsidR="00412253" w:rsidTr="008A78CE">
        <w:trPr>
          <w:cantSplit/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191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166 000,00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166 000,00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12253" w:rsidTr="008A78CE">
        <w:trPr>
          <w:cantSplit/>
          <w:trHeight w:val="51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192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6.11. Установление дополнительных льгот и компенсации для народных дружинников,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использование иных форм их материальной заинтересованности и социальной защиты, не противоречащих законодательству РФ, соответствии с ч. 6 ст. 26 Федерального закона № 44-ФЗ «Об участии граждан в охране общественного порядка»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6.6.3.1., 6.6.3.2.</w:t>
            </w:r>
          </w:p>
        </w:tc>
      </w:tr>
      <w:tr w:rsidR="00412253" w:rsidTr="008A78CE">
        <w:trPr>
          <w:cantSplit/>
          <w:trHeight w:val="24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193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6.12. Проведение мониторинга досуга несовершеннолетних и принятие дополнительных мер по организации досуга молодежи, в том числе по улучшению материально-технической базы и повышению привлекательности учреждений социально-культурной сферы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6.6.2.1.</w:t>
            </w:r>
          </w:p>
        </w:tc>
      </w:tr>
      <w:tr w:rsidR="00412253" w:rsidTr="008A78CE">
        <w:trPr>
          <w:cantSplit/>
          <w:trHeight w:val="8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194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6.13. Проведение в образовательных учреждениях Единых дней профилактики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6.6.2.1.</w:t>
            </w:r>
          </w:p>
        </w:tc>
      </w:tr>
      <w:tr w:rsidR="00412253" w:rsidTr="008A78CE">
        <w:trPr>
          <w:cantSplit/>
          <w:trHeight w:val="94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195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6.14. Проведение совместных рейдов по профилактике правонарушений среди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6.6.2.1.</w:t>
            </w:r>
          </w:p>
        </w:tc>
      </w:tr>
      <w:tr w:rsidR="00412253" w:rsidTr="008A78CE">
        <w:trPr>
          <w:cantSplit/>
          <w:trHeight w:val="9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196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6.15. Профилактика беспризорности, безнадзорности и правонарушений среди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6.6.2.1.</w:t>
            </w:r>
          </w:p>
        </w:tc>
      </w:tr>
      <w:tr w:rsidR="00412253" w:rsidTr="008A78CE">
        <w:trPr>
          <w:cantSplit/>
          <w:trHeight w:val="17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197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6.16. Организация отдыха, оздоровления и занятости детей, находящихся в трудной жизненной ситуации и нуждающихся в особой заботе государства, в каникулярный период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6.6.2.1.</w:t>
            </w:r>
          </w:p>
        </w:tc>
      </w:tr>
      <w:tr w:rsidR="00412253" w:rsidTr="008A78CE">
        <w:trPr>
          <w:cantSplit/>
          <w:trHeight w:val="12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198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6.17. Обеспечение условий для разрешения проблемы устройства детей, оказавшихся в социально опасном положении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6.6.2.1.</w:t>
            </w:r>
          </w:p>
        </w:tc>
      </w:tr>
      <w:tr w:rsidR="00412253" w:rsidTr="008A78CE">
        <w:trPr>
          <w:cantSplit/>
          <w:trHeight w:val="18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199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6.18. Проведение мероприятий, направленных на соблюдение требований запрета нахождения несовершеннолетних без сопровождения родителей и законных представителей в общественных местах в ночное время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6.6.2.1.</w:t>
            </w:r>
          </w:p>
        </w:tc>
      </w:tr>
      <w:tr w:rsidR="00412253" w:rsidTr="008A78CE">
        <w:trPr>
          <w:cantSplit/>
          <w:trHeight w:val="12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200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6.19. Проведение рабочих встреч с потенциальными работодателями с целью создания временных рабочих мест для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6.6.3.1., 6.6.3.2.</w:t>
            </w:r>
          </w:p>
        </w:tc>
      </w:tr>
      <w:tr w:rsidR="00412253" w:rsidTr="008A78CE">
        <w:trPr>
          <w:cantSplit/>
          <w:trHeight w:val="16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201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6.20. Размещение в образовательных учреждениях городского округа информационных стендов по освещению вопросов трудового, административного и уголовного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6.6.2.1.</w:t>
            </w:r>
          </w:p>
        </w:tc>
      </w:tr>
      <w:tr w:rsidR="00412253" w:rsidTr="008A78CE">
        <w:trPr>
          <w:cantSplit/>
          <w:trHeight w:val="21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202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Мероприятие 6.21. Профилактика правонарушений и преступлений среди лиц, осужденным к мерам наказания, не связанным с лишением свободы, освободившихся из мест лишения свободы и обеспечение мероприятий по их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ресоциализации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6.6.1.1.</w:t>
            </w:r>
          </w:p>
        </w:tc>
      </w:tr>
      <w:tr w:rsidR="00412253" w:rsidTr="008A78CE">
        <w:trPr>
          <w:cantSplit/>
          <w:trHeight w:val="23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203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6.22. Социальное сопровождение и осуществление профилактической работы с малообеспеченным семьям, семьями с несовершеннолетними детьми, гражданами пожилого возраста и инвалидами, оказавшимися в трудной жизненной ситуации, социально-опасном положении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6.6.2.1.</w:t>
            </w:r>
          </w:p>
        </w:tc>
      </w:tr>
      <w:tr w:rsidR="00412253" w:rsidTr="008A78CE">
        <w:trPr>
          <w:cantSplit/>
          <w:trHeight w:val="12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204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6.23. Состояние правоприменительной деятельности в сфере соблюдения правил проживания на территории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6.6.1.1.</w:t>
            </w:r>
          </w:p>
        </w:tc>
      </w:tr>
      <w:tr w:rsidR="00412253" w:rsidTr="008A78CE">
        <w:trPr>
          <w:cantSplit/>
          <w:trHeight w:val="19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205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6.24. Организация сбора и обобщение информации о необходимом количестве привлечения трудовых мигрантов с целью упорядочения и легализации участия в трудовой деятельности иностранных граждан и лиц без гражданства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6.6.1.1.</w:t>
            </w:r>
          </w:p>
        </w:tc>
      </w:tr>
      <w:tr w:rsidR="00412253" w:rsidTr="008A78CE">
        <w:trPr>
          <w:cantSplit/>
          <w:trHeight w:val="9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206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6.25. Проведение оперативно-профилактических мероприятий «Нелегальный мигрант»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6.6.1.1.</w:t>
            </w:r>
          </w:p>
        </w:tc>
      </w:tr>
      <w:tr w:rsidR="00412253" w:rsidTr="008A78CE">
        <w:trPr>
          <w:cantSplit/>
          <w:trHeight w:val="17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207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6.26. Организация проведения учета граждан РФ, иностранных граждан и лиц без гражданства, прибывших для осуществления трудовой деятельности на территорию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6.6.1.1.</w:t>
            </w:r>
          </w:p>
        </w:tc>
      </w:tr>
      <w:tr w:rsidR="00412253" w:rsidTr="008A78CE">
        <w:trPr>
          <w:cantSplit/>
          <w:trHeight w:val="17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208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6.27. Предоставление сотруднику полиции, замещающему должность участкового уполномоченного полиции, помещения для работы на обслуживаемом административном участке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6.6.3.1., 6.6.3.2.</w:t>
            </w:r>
          </w:p>
        </w:tc>
      </w:tr>
      <w:tr w:rsidR="00412253" w:rsidTr="008A78CE">
        <w:trPr>
          <w:cantSplit/>
          <w:trHeight w:val="17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209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6.28. Обеспечение служебным жилым помещением сотрудника полиции, замещающего должность участкового уполномоченного полиции, не имеющего жилого помещения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6.6.3.1., 6.6.3.2.</w:t>
            </w:r>
          </w:p>
        </w:tc>
      </w:tr>
      <w:tr w:rsidR="00412253" w:rsidTr="008A78CE">
        <w:trPr>
          <w:cantSplit/>
          <w:trHeight w:val="10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210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6.29. Информационно-пропагандистская деятельность профилактики правонарушений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6.6.1.1.</w:t>
            </w:r>
          </w:p>
        </w:tc>
      </w:tr>
      <w:tr w:rsidR="00412253" w:rsidTr="008A78CE">
        <w:trPr>
          <w:cantSplit/>
          <w:trHeight w:val="12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211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6.30. Разработка межведомственных планов и участие в областной оперативно-профилактической операции «Подросток»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6.6.2.1.</w:t>
            </w:r>
          </w:p>
        </w:tc>
      </w:tr>
      <w:tr w:rsidR="00412253" w:rsidTr="008A78CE">
        <w:trPr>
          <w:cantSplit/>
          <w:trHeight w:val="198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212</w:t>
            </w:r>
            <w:r w:rsidR="00135C41">
              <w:rPr>
                <w:rFonts w:ascii="Liberation Serif" w:hAnsi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Мероприятие 6.31. Проведение комплексных оздоровительных, физкультурно-спортивных и агитационно-пропагандистских мероприятий с целью привлечения населения к здоровому образу жизни через спортивно-оздоровительную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253" w:rsidRDefault="001B5D80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6.6.1.1., 6.6.2.1.</w:t>
            </w:r>
          </w:p>
        </w:tc>
      </w:tr>
    </w:tbl>
    <w:p w:rsidR="00412253" w:rsidRDefault="00412253">
      <w:pPr>
        <w:pStyle w:val="Standard"/>
        <w:ind w:left="0" w:right="0"/>
        <w:rPr>
          <w:rFonts w:ascii="Liberation Serif" w:hAnsi="Liberation Serif" w:cs="Liberation Serif"/>
          <w:color w:val="000000"/>
          <w:sz w:val="2"/>
          <w:szCs w:val="2"/>
        </w:rPr>
      </w:pPr>
    </w:p>
    <w:sectPr w:rsidR="00412253">
      <w:headerReference w:type="default" r:id="rId9"/>
      <w:footerReference w:type="default" r:id="rId10"/>
      <w:pgSz w:w="16838" w:h="11906" w:orient="landscape"/>
      <w:pgMar w:top="1304" w:right="790" w:bottom="7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64" w:rsidRDefault="00744D64">
      <w:r>
        <w:separator/>
      </w:r>
    </w:p>
  </w:endnote>
  <w:endnote w:type="continuationSeparator" w:id="0">
    <w:p w:rsidR="00744D64" w:rsidRDefault="0074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75" w:rsidRDefault="00744D64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64" w:rsidRDefault="00744D64">
      <w:r>
        <w:rPr>
          <w:color w:val="000000"/>
        </w:rPr>
        <w:separator/>
      </w:r>
    </w:p>
  </w:footnote>
  <w:footnote w:type="continuationSeparator" w:id="0">
    <w:p w:rsidR="00744D64" w:rsidRDefault="0074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75" w:rsidRDefault="001B5D80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FF286E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F20575" w:rsidRDefault="00744D6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75" w:rsidRPr="00F779C4" w:rsidRDefault="001B5D80">
    <w:pPr>
      <w:pStyle w:val="a8"/>
      <w:jc w:val="center"/>
      <w:rPr>
        <w:sz w:val="18"/>
      </w:rPr>
    </w:pPr>
    <w:r w:rsidRPr="00F779C4">
      <w:rPr>
        <w:rFonts w:ascii="Liberation Serif" w:hAnsi="Liberation Serif" w:cs="Liberation Serif"/>
        <w:sz w:val="24"/>
      </w:rPr>
      <w:fldChar w:fldCharType="begin"/>
    </w:r>
    <w:r w:rsidRPr="00F779C4">
      <w:rPr>
        <w:rFonts w:ascii="Liberation Serif" w:hAnsi="Liberation Serif" w:cs="Liberation Serif"/>
        <w:sz w:val="24"/>
      </w:rPr>
      <w:instrText xml:space="preserve"> PAGE </w:instrText>
    </w:r>
    <w:r w:rsidRPr="00F779C4">
      <w:rPr>
        <w:rFonts w:ascii="Liberation Serif" w:hAnsi="Liberation Serif" w:cs="Liberation Serif"/>
        <w:sz w:val="24"/>
      </w:rPr>
      <w:fldChar w:fldCharType="separate"/>
    </w:r>
    <w:r w:rsidR="00FF286E">
      <w:rPr>
        <w:rFonts w:ascii="Liberation Serif" w:hAnsi="Liberation Serif" w:cs="Liberation Serif"/>
        <w:noProof/>
        <w:sz w:val="24"/>
      </w:rPr>
      <w:t>36</w:t>
    </w:r>
    <w:r w:rsidRPr="00F779C4">
      <w:rPr>
        <w:rFonts w:ascii="Liberation Serif" w:hAnsi="Liberation Serif" w:cs="Liberation Serif"/>
        <w:sz w:val="24"/>
      </w:rPr>
      <w:fldChar w:fldCharType="end"/>
    </w:r>
  </w:p>
  <w:p w:rsidR="00F20575" w:rsidRDefault="00744D64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53"/>
    <w:rsid w:val="00135C41"/>
    <w:rsid w:val="001B5D80"/>
    <w:rsid w:val="00412253"/>
    <w:rsid w:val="00744D64"/>
    <w:rsid w:val="008A78CE"/>
    <w:rsid w:val="00A27259"/>
    <w:rsid w:val="00F779C4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18A2"/>
  <w15:docId w15:val="{14CB864A-324D-44F9-ABC4-A3734985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verflowPunct w:val="0"/>
      <w:outlineLvl w:val="0"/>
    </w:pPr>
    <w:rPr>
      <w:b/>
      <w:i/>
      <w:sz w:val="26"/>
    </w:rPr>
  </w:style>
  <w:style w:type="paragraph" w:styleId="2">
    <w:name w:val="heading 2"/>
    <w:basedOn w:val="Standard"/>
    <w:next w:val="Standard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left="28" w:right="28"/>
      <w:jc w:val="both"/>
    </w:pPr>
  </w:style>
  <w:style w:type="paragraph" w:customStyle="1" w:styleId="Heading">
    <w:name w:val="Heading"/>
    <w:basedOn w:val="Standard"/>
    <w:next w:val="Textbodyuser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Droid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roid Sans Devanagari"/>
    </w:rPr>
  </w:style>
  <w:style w:type="paragraph" w:customStyle="1" w:styleId="Standarduser">
    <w:name w:val="Standard (user)"/>
    <w:pPr>
      <w:widowControl/>
      <w:suppressAutoHyphens/>
      <w:ind w:left="28" w:right="28"/>
      <w:jc w:val="both"/>
    </w:pPr>
  </w:style>
  <w:style w:type="paragraph" w:customStyle="1" w:styleId="Textbodyuser">
    <w:name w:val="Text body (user)"/>
    <w:basedOn w:val="Standard"/>
    <w:pPr>
      <w:ind w:left="0" w:right="4251"/>
    </w:pPr>
    <w:rPr>
      <w:sz w:val="28"/>
    </w:rPr>
  </w:style>
  <w:style w:type="paragraph" w:customStyle="1" w:styleId="Textbodyindentuser">
    <w:name w:val="Text body indent (user)"/>
    <w:basedOn w:val="Standard"/>
    <w:pPr>
      <w:ind w:left="0" w:right="-1" w:firstLine="709"/>
    </w:pPr>
    <w:rPr>
      <w:sz w:val="28"/>
    </w:rPr>
  </w:style>
  <w:style w:type="paragraph" w:styleId="a5">
    <w:name w:val="Block Text"/>
    <w:basedOn w:val="Standard"/>
    <w:pPr>
      <w:ind w:left="142" w:right="-1"/>
    </w:pPr>
    <w:rPr>
      <w:sz w:val="28"/>
    </w:r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a7">
    <w:name w:val="Знак"/>
    <w:basedOn w:val="Standard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widowControl/>
      <w:suppressAutoHyphens/>
      <w:ind w:left="115" w:right="28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47"/>
        <w:tab w:val="right" w:pos="9666"/>
      </w:tabs>
    </w:pPr>
  </w:style>
  <w:style w:type="paragraph" w:styleId="a8">
    <w:name w:val="header"/>
    <w:basedOn w:val="Standard"/>
    <w:pPr>
      <w:tabs>
        <w:tab w:val="center" w:pos="4705"/>
        <w:tab w:val="right" w:pos="9383"/>
      </w:tabs>
    </w:pPr>
  </w:style>
  <w:style w:type="paragraph" w:styleId="a9">
    <w:name w:val="footer"/>
    <w:basedOn w:val="Standard"/>
    <w:pPr>
      <w:tabs>
        <w:tab w:val="center" w:pos="4705"/>
        <w:tab w:val="right" w:pos="9383"/>
      </w:tabs>
    </w:pPr>
  </w:style>
  <w:style w:type="paragraph" w:customStyle="1" w:styleId="msonormal0">
    <w:name w:val="msonormal"/>
    <w:basedOn w:val="Standard"/>
    <w:pPr>
      <w:spacing w:before="100" w:after="100"/>
    </w:pPr>
    <w:rPr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Standard"/>
    <w:pP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Standard"/>
    <w:pPr>
      <w:spacing w:before="100" w:after="100"/>
      <w:textAlignment w:val="top"/>
    </w:pPr>
    <w:rPr>
      <w:sz w:val="24"/>
      <w:szCs w:val="24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Standard"/>
    <w:pPr>
      <w:spacing w:before="100" w:after="100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  <w:sz w:val="24"/>
      <w:szCs w:val="24"/>
    </w:rPr>
  </w:style>
  <w:style w:type="paragraph" w:customStyle="1" w:styleId="ConsPlusNormal">
    <w:name w:val="ConsPlusNormal"/>
    <w:pPr>
      <w:suppressAutoHyphens/>
      <w:ind w:left="28" w:right="28"/>
      <w:jc w:val="both"/>
    </w:pPr>
    <w:rPr>
      <w:rFonts w:ascii="Arial" w:eastAsia="Arial" w:hAnsi="Arial" w:cs="Arial"/>
    </w:rPr>
  </w:style>
  <w:style w:type="paragraph" w:styleId="aa">
    <w:name w:val="List Paragraph"/>
    <w:basedOn w:val="Standard"/>
    <w:pPr>
      <w:spacing w:after="200" w:line="276" w:lineRule="auto"/>
      <w:ind w:left="720" w:right="0"/>
    </w:pPr>
    <w:rPr>
      <w:rFonts w:ascii="Calibri" w:eastAsia="Calibri" w:hAnsi="Calibri" w:cs="Calibri"/>
      <w:sz w:val="22"/>
      <w:szCs w:val="22"/>
    </w:rPr>
  </w:style>
  <w:style w:type="paragraph" w:styleId="ab">
    <w:name w:val="No Spacing"/>
    <w:pPr>
      <w:widowControl/>
      <w:suppressAutoHyphens/>
      <w:ind w:left="28" w:right="28"/>
      <w:jc w:val="both"/>
    </w:pPr>
  </w:style>
  <w:style w:type="paragraph" w:customStyle="1" w:styleId="10">
    <w:name w:val="Название1"/>
    <w:basedOn w:val="Standard"/>
    <w:pPr>
      <w:jc w:val="center"/>
    </w:pPr>
    <w:rPr>
      <w:rFonts w:eastAsia="Calibri"/>
      <w:b/>
      <w:sz w:val="24"/>
    </w:rPr>
  </w:style>
  <w:style w:type="paragraph" w:customStyle="1" w:styleId="ConsPlusTitle">
    <w:name w:val="ConsPlusTitle"/>
    <w:pPr>
      <w:suppressAutoHyphens/>
      <w:ind w:left="28" w:right="28"/>
      <w:jc w:val="both"/>
    </w:pPr>
    <w:rPr>
      <w:rFonts w:ascii="Arial" w:eastAsia="Arial" w:hAnsi="Arial" w:cs="Arial"/>
      <w:b/>
      <w:bCs/>
    </w:rPr>
  </w:style>
  <w:style w:type="paragraph" w:customStyle="1" w:styleId="ac">
    <w:name w:val="Обычный (Интернет)"/>
    <w:basedOn w:val="Standarduser"/>
    <w:pPr>
      <w:spacing w:before="100" w:after="100"/>
    </w:pPr>
    <w:rPr>
      <w:rFonts w:ascii="Arial" w:eastAsia="Arial" w:hAnsi="Arial" w:cs="Arial"/>
    </w:rPr>
  </w:style>
  <w:style w:type="paragraph" w:customStyle="1" w:styleId="ConsPlusCell">
    <w:name w:val="ConsPlusCell"/>
    <w:pPr>
      <w:suppressAutoHyphens/>
      <w:ind w:left="28" w:right="28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widowControl/>
      <w:suppressAutoHyphens/>
      <w:ind w:left="28" w:right="28"/>
      <w:jc w:val="both"/>
    </w:pPr>
    <w:rPr>
      <w:rFonts w:eastAsia="Calibri"/>
      <w:color w:val="000000"/>
      <w:sz w:val="24"/>
      <w:szCs w:val="24"/>
      <w:lang w:eastAsia="en-US"/>
    </w:rPr>
  </w:style>
  <w:style w:type="paragraph" w:styleId="ad">
    <w:name w:val="annotation text"/>
    <w:basedOn w:val="Standard"/>
  </w:style>
  <w:style w:type="paragraph" w:styleId="ae">
    <w:name w:val="annotation subject"/>
    <w:basedOn w:val="ad"/>
    <w:next w:val="ad"/>
    <w:rPr>
      <w:b/>
      <w:bCs/>
    </w:rPr>
  </w:style>
  <w:style w:type="paragraph" w:styleId="af">
    <w:name w:val="Revision"/>
    <w:pPr>
      <w:widowControl/>
      <w:suppressAutoHyphens/>
      <w:ind w:left="28" w:right="28"/>
      <w:jc w:val="both"/>
    </w:pPr>
    <w:rPr>
      <w:sz w:val="24"/>
      <w:szCs w:val="24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</w:pPr>
    <w:rPr>
      <w:color w:val="000000"/>
      <w:sz w:val="24"/>
      <w:szCs w:val="24"/>
    </w:rPr>
  </w:style>
  <w:style w:type="paragraph" w:customStyle="1" w:styleId="xl83">
    <w:name w:val="xl83"/>
    <w:basedOn w:val="Standard"/>
    <w:pPr>
      <w:spacing w:before="100" w:after="100"/>
      <w:jc w:val="right"/>
    </w:pPr>
    <w:rPr>
      <w:sz w:val="24"/>
      <w:szCs w:val="24"/>
    </w:rPr>
  </w:style>
  <w:style w:type="paragraph" w:customStyle="1" w:styleId="xl84">
    <w:name w:val="xl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">
    <w:name w:val="Обычная таблица1"/>
    <w:pPr>
      <w:widowControl/>
      <w:suppressAutoHyphens/>
      <w:spacing w:after="160"/>
      <w:ind w:left="28" w:right="28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0">
    <w:name w:val="Обычная таблица2"/>
    <w:pPr>
      <w:widowControl/>
      <w:suppressAutoHyphens/>
      <w:ind w:left="28" w:right="28"/>
      <w:jc w:val="both"/>
    </w:pPr>
    <w:rPr>
      <w:rFonts w:ascii="Calibri" w:eastAsia="Calibri" w:hAnsi="Calibri" w:cs="Calibri"/>
      <w:sz w:val="22"/>
    </w:rPr>
  </w:style>
  <w:style w:type="paragraph" w:customStyle="1" w:styleId="ParagraphStyle0">
    <w:name w:val="ParagraphStyle0"/>
    <w:pPr>
      <w:widowControl/>
      <w:suppressAutoHyphens/>
      <w:ind w:left="28" w:right="28"/>
      <w:jc w:val="center"/>
    </w:pPr>
    <w:rPr>
      <w:rFonts w:ascii="Calibri" w:eastAsia="Calibri" w:hAnsi="Calibri" w:cs="Calibri"/>
      <w:sz w:val="22"/>
    </w:rPr>
  </w:style>
  <w:style w:type="paragraph" w:customStyle="1" w:styleId="ParagraphStyle1">
    <w:name w:val="ParagraphStyle1"/>
    <w:pPr>
      <w:widowControl/>
      <w:suppressAutoHyphens/>
      <w:ind w:left="28" w:right="28"/>
      <w:jc w:val="both"/>
    </w:pPr>
    <w:rPr>
      <w:rFonts w:ascii="Calibri" w:eastAsia="Calibri" w:hAnsi="Calibri" w:cs="Calibri"/>
      <w:sz w:val="22"/>
    </w:rPr>
  </w:style>
  <w:style w:type="paragraph" w:customStyle="1" w:styleId="ParagraphStyle2">
    <w:name w:val="ParagraphStyle2"/>
    <w:pPr>
      <w:widowControl/>
      <w:suppressAutoHyphens/>
      <w:ind w:left="28" w:right="28"/>
      <w:jc w:val="both"/>
    </w:pPr>
    <w:rPr>
      <w:rFonts w:ascii="Calibri" w:eastAsia="Calibri" w:hAnsi="Calibri" w:cs="Calibri"/>
      <w:sz w:val="22"/>
    </w:rPr>
  </w:style>
  <w:style w:type="paragraph" w:customStyle="1" w:styleId="ParagraphStyle3">
    <w:name w:val="ParagraphStyle3"/>
    <w:pPr>
      <w:widowControl/>
      <w:suppressAutoHyphens/>
      <w:ind w:left="28" w:right="28"/>
      <w:jc w:val="both"/>
    </w:pPr>
    <w:rPr>
      <w:rFonts w:ascii="Calibri" w:eastAsia="Calibri" w:hAnsi="Calibri" w:cs="Calibri"/>
      <w:sz w:val="22"/>
    </w:rPr>
  </w:style>
  <w:style w:type="paragraph" w:customStyle="1" w:styleId="ParagraphStyle4">
    <w:name w:val="ParagraphStyle4"/>
    <w:pPr>
      <w:widowControl/>
      <w:suppressAutoHyphens/>
      <w:ind w:left="28" w:right="28"/>
      <w:jc w:val="both"/>
    </w:pPr>
    <w:rPr>
      <w:rFonts w:ascii="Calibri" w:eastAsia="Calibri" w:hAnsi="Calibri" w:cs="Calibri"/>
      <w:sz w:val="22"/>
    </w:rPr>
  </w:style>
  <w:style w:type="paragraph" w:customStyle="1" w:styleId="ParagraphStyle5">
    <w:name w:val="ParagraphStyle5"/>
    <w:pPr>
      <w:widowControl/>
      <w:suppressAutoHyphens/>
      <w:ind w:left="28" w:right="28"/>
      <w:jc w:val="both"/>
    </w:pPr>
    <w:rPr>
      <w:rFonts w:ascii="Calibri" w:eastAsia="Calibri" w:hAnsi="Calibri" w:cs="Calibri"/>
      <w:sz w:val="22"/>
    </w:rPr>
  </w:style>
  <w:style w:type="paragraph" w:customStyle="1" w:styleId="ParagraphStyle6">
    <w:name w:val="ParagraphStyle6"/>
    <w:pPr>
      <w:widowControl/>
      <w:suppressAutoHyphens/>
      <w:ind w:left="28" w:right="28"/>
      <w:jc w:val="both"/>
    </w:pPr>
    <w:rPr>
      <w:rFonts w:ascii="Calibri" w:eastAsia="Calibri" w:hAnsi="Calibri" w:cs="Calibri"/>
      <w:sz w:val="22"/>
    </w:rPr>
  </w:style>
  <w:style w:type="paragraph" w:customStyle="1" w:styleId="ParagraphStyle7">
    <w:name w:val="ParagraphStyle7"/>
    <w:pPr>
      <w:widowControl/>
      <w:suppressAutoHyphens/>
      <w:ind w:left="115" w:right="28"/>
      <w:jc w:val="both"/>
    </w:pPr>
    <w:rPr>
      <w:rFonts w:ascii="Calibri" w:eastAsia="Calibri" w:hAnsi="Calibri" w:cs="Calibri"/>
      <w:sz w:val="22"/>
    </w:rPr>
  </w:style>
  <w:style w:type="paragraph" w:customStyle="1" w:styleId="ParagraphStyle8">
    <w:name w:val="ParagraphStyle8"/>
    <w:pPr>
      <w:widowControl/>
      <w:suppressAutoHyphens/>
      <w:ind w:left="115" w:right="115"/>
      <w:jc w:val="both"/>
    </w:pPr>
    <w:rPr>
      <w:rFonts w:ascii="Calibri" w:eastAsia="Calibri" w:hAnsi="Calibri" w:cs="Calibri"/>
      <w:sz w:val="22"/>
    </w:rPr>
  </w:style>
  <w:style w:type="paragraph" w:customStyle="1" w:styleId="ParagraphStyle9">
    <w:name w:val="ParagraphStyle9"/>
    <w:pPr>
      <w:widowControl/>
      <w:suppressAutoHyphens/>
      <w:ind w:left="115" w:right="28"/>
      <w:jc w:val="both"/>
    </w:pPr>
    <w:rPr>
      <w:rFonts w:ascii="Calibri" w:eastAsia="Calibri" w:hAnsi="Calibri" w:cs="Calibri"/>
      <w:sz w:val="22"/>
    </w:rPr>
  </w:style>
  <w:style w:type="paragraph" w:customStyle="1" w:styleId="ParagraphStyle10">
    <w:name w:val="ParagraphStyle10"/>
    <w:pPr>
      <w:widowControl/>
      <w:suppressAutoHyphens/>
      <w:ind w:left="115" w:right="115"/>
      <w:jc w:val="both"/>
    </w:pPr>
    <w:rPr>
      <w:rFonts w:ascii="Calibri" w:eastAsia="Calibri" w:hAnsi="Calibri" w:cs="Calibri"/>
      <w:sz w:val="22"/>
    </w:rPr>
  </w:style>
  <w:style w:type="paragraph" w:customStyle="1" w:styleId="ParagraphStyle12">
    <w:name w:val="ParagraphStyle12"/>
    <w:pPr>
      <w:widowControl/>
      <w:suppressAutoHyphens/>
      <w:ind w:left="115" w:right="28"/>
      <w:jc w:val="both"/>
    </w:pPr>
    <w:rPr>
      <w:rFonts w:ascii="Calibri" w:eastAsia="Calibri" w:hAnsi="Calibri" w:cs="Calibri"/>
      <w:sz w:val="22"/>
    </w:rPr>
  </w:style>
  <w:style w:type="paragraph" w:customStyle="1" w:styleId="ParagraphStyle13">
    <w:name w:val="ParagraphStyle13"/>
    <w:pPr>
      <w:widowControl/>
      <w:suppressAutoHyphens/>
      <w:ind w:left="115" w:right="28"/>
      <w:jc w:val="both"/>
    </w:pPr>
    <w:rPr>
      <w:rFonts w:ascii="Calibri" w:eastAsia="Calibri" w:hAnsi="Calibri" w:cs="Calibri"/>
      <w:sz w:val="22"/>
    </w:rPr>
  </w:style>
  <w:style w:type="paragraph" w:customStyle="1" w:styleId="ParagraphStyle14">
    <w:name w:val="ParagraphStyle14"/>
    <w:pPr>
      <w:widowControl/>
      <w:suppressAutoHyphens/>
      <w:ind w:left="115" w:right="28"/>
      <w:jc w:val="both"/>
    </w:pPr>
    <w:rPr>
      <w:rFonts w:ascii="Calibri" w:eastAsia="Calibri" w:hAnsi="Calibri" w:cs="Calibri"/>
      <w:sz w:val="22"/>
    </w:rPr>
  </w:style>
  <w:style w:type="paragraph" w:customStyle="1" w:styleId="ParagraphStyle15">
    <w:name w:val="ParagraphStyle15"/>
    <w:pPr>
      <w:widowControl/>
      <w:suppressAutoHyphens/>
      <w:ind w:left="115" w:right="28"/>
      <w:jc w:val="both"/>
    </w:pPr>
    <w:rPr>
      <w:rFonts w:ascii="Calibri" w:eastAsia="Calibri" w:hAnsi="Calibri" w:cs="Calibri"/>
      <w:sz w:val="22"/>
    </w:rPr>
  </w:style>
  <w:style w:type="paragraph" w:customStyle="1" w:styleId="3">
    <w:name w:val="Обычная таблица3"/>
    <w:pPr>
      <w:widowControl/>
      <w:suppressAutoHyphens/>
      <w:spacing w:after="160"/>
      <w:ind w:left="28" w:right="28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acterStyle11">
    <w:name w:val="CharacterStyle1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af0">
    <w:name w:val="Верхний колонтитул Знак"/>
    <w:basedOn w:val="a0"/>
  </w:style>
  <w:style w:type="character" w:customStyle="1" w:styleId="af1">
    <w:name w:val="Нижний колонтитул Знак"/>
    <w:basedOn w:val="a0"/>
  </w:style>
  <w:style w:type="character" w:customStyle="1" w:styleId="CharacterStyle10">
    <w:name w:val="CharacterStyle1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2">
    <w:name w:val="Заголовок 1 Знак"/>
    <w:rPr>
      <w:b/>
      <w:i/>
      <w:sz w:val="26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onsPlusNormal0">
    <w:name w:val="ConsPlusNormal Знак"/>
    <w:rPr>
      <w:rFonts w:ascii="Arial" w:eastAsia="Arial" w:hAnsi="Arial" w:cs="Arial"/>
    </w:rPr>
  </w:style>
  <w:style w:type="character" w:customStyle="1" w:styleId="af2">
    <w:name w:val="Основной текст Знак"/>
    <w:rPr>
      <w:sz w:val="28"/>
    </w:rPr>
  </w:style>
  <w:style w:type="character" w:customStyle="1" w:styleId="af3">
    <w:name w:val="Название Знак"/>
    <w:rPr>
      <w:rFonts w:eastAsia="Calibri"/>
      <w:b/>
      <w:sz w:val="24"/>
    </w:rPr>
  </w:style>
  <w:style w:type="character" w:customStyle="1" w:styleId="af4">
    <w:name w:val="Основной текст с отступом Знак"/>
    <w:rPr>
      <w:sz w:val="28"/>
    </w:rPr>
  </w:style>
  <w:style w:type="character" w:customStyle="1" w:styleId="0pt5">
    <w:name w:val="Основной текст + Интервал 0 pt5"/>
    <w:rPr>
      <w:rFonts w:ascii="Times New Roman" w:eastAsia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spacing w:val="-6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eastAsia="Times New Roman" w:hAnsi="Times New Roman" w:cs="Times New Roman"/>
      <w:spacing w:val="-2"/>
      <w:sz w:val="26"/>
      <w:szCs w:val="26"/>
      <w:u w:val="none"/>
      <w:lang w:bidi="ar-SA"/>
    </w:rPr>
  </w:style>
  <w:style w:type="character" w:customStyle="1" w:styleId="apple-converted-space">
    <w:name w:val="apple-converted-space"/>
    <w:basedOn w:val="a0"/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-1"/>
      <w:u w:val="none"/>
    </w:rPr>
  </w:style>
  <w:style w:type="character" w:customStyle="1" w:styleId="2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af5">
    <w:name w:val="Текст выноски Знак"/>
    <w:rPr>
      <w:rFonts w:ascii="Tahoma" w:eastAsia="Tahoma" w:hAnsi="Tahoma" w:cs="Tahoma"/>
      <w:sz w:val="16"/>
      <w:szCs w:val="16"/>
    </w:rPr>
  </w:style>
  <w:style w:type="character" w:styleId="af6">
    <w:name w:val="annotation reference"/>
    <w:rPr>
      <w:sz w:val="16"/>
      <w:szCs w:val="16"/>
    </w:rPr>
  </w:style>
  <w:style w:type="character" w:customStyle="1" w:styleId="af7">
    <w:name w:val="Текст примечания Знак"/>
    <w:basedOn w:val="a0"/>
  </w:style>
  <w:style w:type="character" w:customStyle="1" w:styleId="af8">
    <w:name w:val="Тема примечания Знак"/>
    <w:rPr>
      <w:b/>
      <w:bCs/>
    </w:rPr>
  </w:style>
  <w:style w:type="character" w:styleId="af9">
    <w:name w:val="Strong"/>
    <w:rPr>
      <w:b/>
      <w:bCs/>
    </w:rPr>
  </w:style>
  <w:style w:type="character" w:customStyle="1" w:styleId="CharacterStyle5">
    <w:name w:val="CharacterStyle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FakeCharacterStyle">
    <w:name w:val="FakeCharacterStyle"/>
    <w:rPr>
      <w:sz w:val="2"/>
    </w:rPr>
  </w:style>
  <w:style w:type="character" w:customStyle="1" w:styleId="CharacterStyle0">
    <w:name w:val="CharacterStyle0"/>
    <w:rPr>
      <w:rFonts w:ascii="Times New Roman" w:eastAsia="Times New Roman" w:hAnsi="Times New Roman" w:cs="Times New Roman"/>
      <w:b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1">
    <w:name w:val="CharacterStyle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2">
    <w:name w:val="CharacterStyle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3">
    <w:name w:val="CharacterStyle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4">
    <w:name w:val="CharacterStyle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19"/>
      <w:u w:val="none"/>
      <w:lang w:val="ru-RU" w:eastAsia="ru-RU"/>
    </w:rPr>
  </w:style>
  <w:style w:type="character" w:customStyle="1" w:styleId="CharacterStyle6">
    <w:name w:val="CharacterStyle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7">
    <w:name w:val="CharacterStyle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8">
    <w:name w:val="CharacterStyle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9">
    <w:name w:val="CharacterStyl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12">
    <w:name w:val="CharacterStyle1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13">
    <w:name w:val="CharacterStyle1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14">
    <w:name w:val="CharacterStyle1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15">
    <w:name w:val="CharacterStyle1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4952B6C</Template>
  <TotalTime>1</TotalTime>
  <Pages>38</Pages>
  <Words>6616</Words>
  <Characters>37713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Елена Кузьмина</dc:creator>
  <cp:lastModifiedBy>Ольга Измоденова</cp:lastModifiedBy>
  <cp:revision>3</cp:revision>
  <cp:lastPrinted>2024-03-27T03:35:00Z</cp:lastPrinted>
  <dcterms:created xsi:type="dcterms:W3CDTF">2024-03-27T03:35:00Z</dcterms:created>
  <dcterms:modified xsi:type="dcterms:W3CDTF">2024-04-02T05:56:00Z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