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A" w:rsidRDefault="001B46C3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10" w14:anchorId="24595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.5pt;visibility:visible;mso-wrap-style:square" o:ole="">
            <v:imagedata r:id="rId6" o:title=""/>
          </v:shape>
          <o:OLEObject Type="Embed" ProgID="Word.Picture.8" ShapeID="Picture 1" DrawAspect="Content" ObjectID="_1679472371" r:id="rId7"/>
        </w:object>
      </w:r>
    </w:p>
    <w:p w:rsidR="00CC576A" w:rsidRDefault="001B46C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C576A" w:rsidRDefault="001B46C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576A" w:rsidRDefault="001B46C3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90F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C576A" w:rsidRDefault="00CC576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576A" w:rsidRDefault="00CC576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576A" w:rsidRDefault="001B46C3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095DD9" w:rsidRPr="00095DD9">
        <w:rPr>
          <w:rFonts w:ascii="Liberation Serif" w:hAnsi="Liberation Serif"/>
          <w:sz w:val="24"/>
          <w:u w:val="single"/>
        </w:rPr>
        <w:t>09.04.2021</w:t>
      </w:r>
      <w:r>
        <w:rPr>
          <w:rFonts w:ascii="Liberation Serif" w:hAnsi="Liberation Serif"/>
          <w:sz w:val="24"/>
        </w:rPr>
        <w:t>____  №  ___</w:t>
      </w:r>
      <w:r w:rsidR="00095DD9">
        <w:rPr>
          <w:rFonts w:ascii="Liberation Serif" w:hAnsi="Liberation Serif"/>
          <w:sz w:val="24"/>
          <w:u w:val="single"/>
        </w:rPr>
        <w:t>389-П</w:t>
      </w:r>
      <w:r>
        <w:rPr>
          <w:rFonts w:ascii="Liberation Serif" w:hAnsi="Liberation Serif"/>
          <w:sz w:val="24"/>
        </w:rPr>
        <w:t>____</w:t>
      </w:r>
    </w:p>
    <w:p w:rsidR="00CC576A" w:rsidRDefault="00CC576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576A" w:rsidRDefault="001B46C3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C576A" w:rsidRDefault="00CC576A">
      <w:pPr>
        <w:rPr>
          <w:rFonts w:ascii="Liberation Serif" w:hAnsi="Liberation Serif"/>
          <w:sz w:val="28"/>
          <w:szCs w:val="28"/>
        </w:rPr>
      </w:pPr>
    </w:p>
    <w:p w:rsidR="00CC576A" w:rsidRDefault="00CC576A">
      <w:pPr>
        <w:rPr>
          <w:rFonts w:ascii="Liberation Serif" w:hAnsi="Liberation Serif"/>
          <w:sz w:val="28"/>
          <w:szCs w:val="28"/>
        </w:rPr>
      </w:pPr>
    </w:p>
    <w:p w:rsidR="00CC576A" w:rsidRDefault="001B46C3">
      <w:pPr>
        <w:pStyle w:val="a8"/>
        <w:suppressAutoHyphens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отчета о </w:t>
      </w:r>
      <w:r>
        <w:rPr>
          <w:rFonts w:ascii="Liberation Serif" w:hAnsi="Liberation Serif"/>
          <w:b/>
          <w:sz w:val="28"/>
          <w:szCs w:val="28"/>
        </w:rPr>
        <w:t>выполнении Плана мероприятий («дорожной карты») по повышению эффективности деятельности органов местного самоуправления городского округа Заречный за 2020 год</w:t>
      </w:r>
    </w:p>
    <w:p w:rsidR="00CC576A" w:rsidRDefault="00CC576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C576A" w:rsidRDefault="00CC576A">
      <w:pPr>
        <w:ind w:left="284"/>
        <w:rPr>
          <w:rFonts w:ascii="Liberation Serif" w:hAnsi="Liberation Serif"/>
          <w:sz w:val="28"/>
          <w:szCs w:val="28"/>
        </w:rPr>
      </w:pPr>
    </w:p>
    <w:p w:rsidR="00CC576A" w:rsidRDefault="001B46C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 исполнение постановления Правительства Свердловской области от 12.04.2013 № 485-ПП «О </w:t>
      </w:r>
      <w:r>
        <w:rPr>
          <w:rFonts w:ascii="Liberation Serif" w:hAnsi="Liberation Serif"/>
          <w:sz w:val="28"/>
          <w:szCs w:val="28"/>
        </w:rPr>
        <w:t xml:space="preserve">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  <w:r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hyperlink r:id="rId8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Устава городского округа Заречный администрация городского округа </w:t>
      </w:r>
      <w:r>
        <w:rPr>
          <w:rFonts w:ascii="Liberation Serif" w:hAnsi="Liberation Serif"/>
          <w:sz w:val="28"/>
          <w:szCs w:val="28"/>
        </w:rPr>
        <w:t>Заречный</w:t>
      </w:r>
    </w:p>
    <w:p w:rsidR="00CC576A" w:rsidRDefault="001B46C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C576A" w:rsidRDefault="001B46C3">
      <w:pPr>
        <w:pStyle w:val="a8"/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отчет о выполнении Плана мероприятий («дорожной карты») по повыше</w:t>
      </w:r>
      <w:r>
        <w:rPr>
          <w:rFonts w:ascii="Liberation Serif" w:hAnsi="Liberation Serif"/>
          <w:sz w:val="28"/>
          <w:szCs w:val="28"/>
        </w:rPr>
        <w:t>нию эффективности деятельности органов местного самоуправления городского округа Заречный за 2020 год (прилагается).</w:t>
      </w:r>
    </w:p>
    <w:p w:rsidR="00CC576A" w:rsidRDefault="001B46C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</w:t>
      </w:r>
      <w:r>
        <w:rPr>
          <w:rFonts w:ascii="Liberation Serif" w:hAnsi="Liberation Serif"/>
          <w:color w:val="000000"/>
          <w:sz w:val="28"/>
          <w:szCs w:val="28"/>
        </w:rPr>
        <w:t>одского округа Заречный (www.gorod-zarechny.ru).</w:t>
      </w:r>
    </w:p>
    <w:p w:rsidR="00CC576A" w:rsidRDefault="00CC576A">
      <w:pPr>
        <w:rPr>
          <w:rFonts w:ascii="Liberation Serif" w:hAnsi="Liberation Serif"/>
          <w:sz w:val="28"/>
          <w:szCs w:val="28"/>
        </w:rPr>
      </w:pPr>
    </w:p>
    <w:p w:rsidR="00CC576A" w:rsidRDefault="00CC576A">
      <w:pPr>
        <w:rPr>
          <w:rFonts w:ascii="Liberation Serif" w:hAnsi="Liberation Serif"/>
          <w:sz w:val="28"/>
          <w:szCs w:val="28"/>
        </w:rPr>
      </w:pPr>
    </w:p>
    <w:p w:rsidR="00CC576A" w:rsidRDefault="001B46C3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CC576A" w:rsidRDefault="001B46C3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C576A" w:rsidRDefault="00CC576A">
      <w:pPr>
        <w:rPr>
          <w:rFonts w:ascii="Liberation Serif" w:hAnsi="Liberation Serif"/>
          <w:sz w:val="28"/>
          <w:szCs w:val="28"/>
        </w:rPr>
      </w:pPr>
    </w:p>
    <w:p w:rsidR="00CC576A" w:rsidRDefault="00CC576A">
      <w:pPr>
        <w:rPr>
          <w:rFonts w:ascii="Liberation Serif" w:hAnsi="Liberation Serif"/>
          <w:sz w:val="28"/>
          <w:szCs w:val="28"/>
        </w:rPr>
        <w:sectPr w:rsidR="00CC576A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CC576A" w:rsidRDefault="001B46C3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C576A" w:rsidRDefault="001B46C3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CC576A" w:rsidRDefault="001B46C3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C576A" w:rsidRDefault="001B46C3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</w:t>
      </w:r>
      <w:r w:rsidR="00095DD9">
        <w:rPr>
          <w:rFonts w:ascii="Liberation Serif" w:hAnsi="Liberation Serif"/>
          <w:sz w:val="24"/>
          <w:szCs w:val="24"/>
          <w:u w:val="single"/>
        </w:rPr>
        <w:t>09.04.2021</w:t>
      </w:r>
      <w:r>
        <w:rPr>
          <w:rFonts w:ascii="Liberation Serif" w:hAnsi="Liberation Serif"/>
          <w:sz w:val="24"/>
          <w:szCs w:val="24"/>
        </w:rPr>
        <w:t xml:space="preserve">___  № </w:t>
      </w:r>
      <w:r>
        <w:rPr>
          <w:rFonts w:ascii="Liberation Serif" w:hAnsi="Liberation Serif"/>
          <w:sz w:val="24"/>
          <w:szCs w:val="24"/>
        </w:rPr>
        <w:t xml:space="preserve"> ___</w:t>
      </w:r>
      <w:r w:rsidR="00095DD9">
        <w:rPr>
          <w:rFonts w:ascii="Liberation Serif" w:hAnsi="Liberation Serif"/>
          <w:sz w:val="24"/>
          <w:szCs w:val="24"/>
          <w:u w:val="single"/>
        </w:rPr>
        <w:t>389-П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___ </w:t>
      </w:r>
    </w:p>
    <w:p w:rsidR="00CC576A" w:rsidRDefault="001B46C3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отчета о выполнении Плана мероприятий («дорожной карты») по повышению эффективности деятельности органов местного самоуправления городского округа Заречный за 2020 год»</w:t>
      </w:r>
    </w:p>
    <w:p w:rsidR="00CC576A" w:rsidRDefault="00CC576A">
      <w:pPr>
        <w:jc w:val="center"/>
        <w:rPr>
          <w:rFonts w:ascii="Liberation Serif" w:hAnsi="Liberation Serif"/>
          <w:sz w:val="24"/>
          <w:szCs w:val="24"/>
        </w:rPr>
      </w:pPr>
    </w:p>
    <w:p w:rsidR="00CC576A" w:rsidRDefault="00CC576A">
      <w:pPr>
        <w:jc w:val="center"/>
        <w:rPr>
          <w:rFonts w:ascii="Liberation Serif" w:hAnsi="Liberation Serif"/>
          <w:sz w:val="24"/>
          <w:szCs w:val="24"/>
        </w:rPr>
      </w:pPr>
    </w:p>
    <w:p w:rsidR="00CC576A" w:rsidRDefault="001B46C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ОТЧЕТ</w:t>
      </w:r>
    </w:p>
    <w:p w:rsidR="00CC576A" w:rsidRDefault="001B46C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выполнении Плана мероприятий («дорожной карты»</w:t>
      </w:r>
      <w:r>
        <w:rPr>
          <w:rFonts w:ascii="Liberation Serif" w:hAnsi="Liberation Serif"/>
          <w:b/>
          <w:sz w:val="24"/>
          <w:szCs w:val="24"/>
        </w:rPr>
        <w:t xml:space="preserve">) по повышению эффективности деятельности </w:t>
      </w:r>
    </w:p>
    <w:p w:rsidR="00CC576A" w:rsidRDefault="001B46C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органов местного самоуправления городского округа Заречный за 2020 год</w:t>
      </w:r>
    </w:p>
    <w:p w:rsidR="00CC576A" w:rsidRDefault="00CC576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C576A" w:rsidRDefault="00CC576A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276"/>
        <w:gridCol w:w="1559"/>
        <w:gridCol w:w="5324"/>
      </w:tblGrid>
      <w:tr w:rsidR="00CC57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Плановое значение показателя на </w:t>
            </w:r>
          </w:p>
          <w:p w:rsidR="00CC576A" w:rsidRDefault="001B46C3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Фактическое значение показателя за 2020 год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Экономическое развитие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  <w:ind w:left="-108"/>
            </w:pPr>
            <w:r>
              <w:rPr>
                <w:rFonts w:ascii="Liberation Serif" w:hAnsi="Liberation Serif" w:cs="Times New Roman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360,40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МП «Развитие малого и среднего предпринимательства в </w:t>
            </w:r>
            <w:r>
              <w:rPr>
                <w:rFonts w:ascii="Liberation Serif" w:hAnsi="Liberation Serif"/>
              </w:rPr>
              <w:t>городском округе Заречный»:</w:t>
            </w:r>
          </w:p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строительство муниципального индустриального парка ГО Заречный, площадка №1. </w:t>
            </w:r>
          </w:p>
          <w:p w:rsidR="00CC576A" w:rsidRDefault="001B46C3">
            <w:pPr>
              <w:jc w:val="both"/>
            </w:pPr>
            <w:r>
              <w:rPr>
                <w:rFonts w:ascii="Liberation Serif" w:hAnsi="Liberation Serif"/>
              </w:rPr>
              <w:t>2) предоставление компенсации части затрат субъектам малого и среднего предпринимательства по оплате за аренду помещений в Бизнес – Инкубаторе;</w:t>
            </w:r>
          </w:p>
          <w:p w:rsidR="00CC576A" w:rsidRDefault="001B46C3">
            <w:pPr>
              <w:jc w:val="both"/>
            </w:pPr>
            <w:r>
              <w:rPr>
                <w:rFonts w:ascii="Liberation Serif" w:hAnsi="Liberation Serif"/>
              </w:rPr>
              <w:t xml:space="preserve">3) </w:t>
            </w:r>
            <w:r>
              <w:rPr>
                <w:rFonts w:ascii="Liberation Serif" w:hAnsi="Liberation Serif"/>
              </w:rPr>
              <w:t>обеспечение деятельности организации, образующей инфраструктуру поддержки малого предпринимательства в городском округе Заречный.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ind w:left="-108"/>
            </w:pPr>
            <w:r>
              <w:rPr>
                <w:rFonts w:ascii="Liberation Serif" w:hAnsi="Liberation Serif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rPr>
                <w:rFonts w:ascii="Liberation Serif" w:hAnsi="Liberation Serif" w:cs="Times New Roman"/>
              </w:rPr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15,80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r>
              <w:rPr>
                <w:rFonts w:ascii="Liberation Serif" w:hAnsi="Liberation Serif"/>
                <w:bCs/>
                <w:shd w:val="clear" w:color="auto" w:fill="FFFFFF"/>
              </w:rPr>
              <w:t>На территории городского округа Заречный реализуются следующие инвестиционные проекты: производство инновационных продуктов социального назначения: плав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ающей, противоударной экипировки, нейро-ортопедических костюмов «Ева», устройств для лечения и 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lastRenderedPageBreak/>
              <w:t xml:space="preserve">реабилитации опорно-двигательного аппарата «Экзо-Суппорт», </w:t>
            </w:r>
            <w:r>
              <w:rPr>
                <w:rFonts w:ascii="Liberation Serif" w:hAnsi="Liberation Serif"/>
              </w:rPr>
              <w:t>производство полимерных композиционных материалов. создание производства источников на основе иридия-1</w:t>
            </w:r>
            <w:r>
              <w:rPr>
                <w:rFonts w:ascii="Liberation Serif" w:hAnsi="Liberation Serif"/>
              </w:rPr>
              <w:t xml:space="preserve">92, радиофармацевтического прекурсора трихлорид лютеция- 177 и радиоизотопа йод – 125», создание технологического комплекса ПГС 2 - производство чистых газов и стальных баллонов ВД малой емкости. 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 xml:space="preserve">Объем инвестиций в основной капитал (за исключением </w:t>
            </w:r>
            <w:r>
              <w:rPr>
                <w:rFonts w:ascii="Liberation Serif" w:hAnsi="Liberation Serif" w:cs="Times New Roman"/>
              </w:rPr>
              <w:t>бюджетных средств) в расчете на 1 жителя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56 995,00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73 497,00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рамках конкретных действий по обеспечению социально-экономического развития городского округа Заречный запланированы мероприятия по наращиванию электросетевого и электрораспределительног</w:t>
            </w:r>
            <w:r>
              <w:rPr>
                <w:rFonts w:ascii="Liberation Serif" w:hAnsi="Liberation Serif"/>
              </w:rPr>
              <w:t>о хозяйства (в среднесрочной перспективе для развития социально-жилищного и промышленного сектора город нуждается дополнительно не менее 30 - 35 МВт установленной мощности).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федеральном уровне возможно принятие решения об инвестировании 5-го энергоблока</w:t>
            </w:r>
            <w:r>
              <w:rPr>
                <w:rFonts w:ascii="Liberation Serif" w:hAnsi="Liberation Serif"/>
              </w:rPr>
              <w:t xml:space="preserve"> БН-1200, что позволит выйти на новый этап развития атомного энергетического сектора и создание новых рабочих мест в этом высокотехнологичном секторе экономики.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площади земельных участков, являющихся объектами налогообложения земельным налогом, в </w:t>
            </w:r>
            <w:r>
              <w:rPr>
                <w:rFonts w:ascii="Liberation Serif" w:hAnsi="Liberation Serif" w:cs="Times New Roman"/>
              </w:rPr>
              <w:t>общей площади территории городского округа (муниципального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26,81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a3"/>
              <w:ind w:right="0" w:firstLine="34"/>
            </w:pPr>
            <w:r>
              <w:rPr>
                <w:rFonts w:ascii="Liberation Serif" w:hAnsi="Liberation Serif"/>
                <w:sz w:val="20"/>
              </w:rPr>
              <w:t xml:space="preserve">Ожидается, что в 2021 году 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  <w:r>
              <w:rPr>
                <w:rFonts w:ascii="Liberation Serif" w:hAnsi="Liberation Serif"/>
                <w:sz w:val="20"/>
              </w:rPr>
              <w:t>Заречный увеличится до 26,85%, за счет выявления земельных участков, использующихся без прав, в порядке, предусмотренном законодательством, предоставления (выкупа) земельных участков в собственность за плату собственникам зданий и сооружений, предоставлени</w:t>
            </w:r>
            <w:r>
              <w:rPr>
                <w:rFonts w:ascii="Liberation Serif" w:hAnsi="Liberation Serif"/>
                <w:sz w:val="20"/>
              </w:rPr>
              <w:t>я земельных участков льготным категориям граждан для индивидуального жилищного строительства. Цель данных мероприятий - увеличение объектов налогообложения земельным налогом, а также повышение эффективности использования земель и обеспечение граждан земель</w:t>
            </w:r>
            <w:r>
              <w:rPr>
                <w:rFonts w:ascii="Liberation Serif" w:hAnsi="Liberation Serif"/>
                <w:sz w:val="20"/>
              </w:rPr>
              <w:t xml:space="preserve">ными </w:t>
            </w:r>
            <w:r>
              <w:rPr>
                <w:rFonts w:ascii="Liberation Serif" w:hAnsi="Liberation Serif"/>
                <w:sz w:val="20"/>
              </w:rPr>
              <w:lastRenderedPageBreak/>
              <w:t>участками, имеющих право на бесплатное предоставление. Планируется, что уровень показателя  к 2022 году составит 26,88%.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протяженности автомобильных </w:t>
            </w:r>
            <w:r>
              <w:rPr>
                <w:rFonts w:ascii="Liberation Serif" w:hAnsi="Liberation Serif" w:cs="Times New Roman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8,70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r>
              <w:rPr>
                <w:rFonts w:ascii="Liberation Serif" w:hAnsi="Liberation Serif"/>
              </w:rPr>
              <w:t>Осуществление текущего ремонта автомобильных дорог городского округа Зареч</w:t>
            </w:r>
            <w:r>
              <w:rPr>
                <w:rFonts w:ascii="Liberation Serif" w:hAnsi="Liberation Serif"/>
              </w:rPr>
              <w:t>ный запланировано на 2-4 квартал 2021 года.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54 876,22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72 209,40</w:t>
            </w:r>
          </w:p>
          <w:p w:rsidR="00CC576A" w:rsidRDefault="00CC576A"/>
        </w:tc>
        <w:tc>
          <w:tcPr>
            <w:tcW w:w="5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трехсторонней комиссии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Увеличение </w:t>
            </w:r>
            <w:r>
              <w:rPr>
                <w:rFonts w:ascii="Liberation Serif" w:hAnsi="Liberation Serif"/>
              </w:rPr>
              <w:t>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Увеличение показателя средней заработной платы учителей до ур</w:t>
            </w:r>
            <w:r>
              <w:rPr>
                <w:rFonts w:ascii="Liberation Serif" w:hAnsi="Liberation Serif"/>
              </w:rPr>
              <w:t>овня средней заработной платы по показателю на 2020 год.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Утверждена «дорожная карта» по повышению заработной платы работников учреждений культуры городского округа Заречный.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26 041,35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27 336,95</w:t>
            </w:r>
          </w:p>
        </w:tc>
        <w:tc>
          <w:tcPr>
            <w:tcW w:w="5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общеобразовательных учреждений</w:t>
            </w:r>
          </w:p>
          <w:p w:rsidR="00CC576A" w:rsidRDefault="00CC576A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33 472,70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38 290,72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учителей муниципальных общеобразовательных учреждений</w:t>
            </w:r>
          </w:p>
          <w:p w:rsidR="00CC576A" w:rsidRDefault="00CC576A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42 087,60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43 070,95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учреждений культуры и искусства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38 003,00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38 401,10</w:t>
            </w:r>
          </w:p>
        </w:tc>
        <w:tc>
          <w:tcPr>
            <w:tcW w:w="5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Дошкольное образование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</w:t>
            </w:r>
            <w:r>
              <w:rPr>
                <w:rFonts w:ascii="Liberation Serif" w:hAnsi="Liberation Serif" w:cs="Times New Roman"/>
              </w:rPr>
              <w:t>шести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86,60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Открытие дошкольных групп кратковременного пребывания на базе муниципальных дошкольных образовательных учреждений. </w:t>
            </w:r>
          </w:p>
          <w:p w:rsidR="00CC576A" w:rsidRDefault="001B46C3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Открытие консультационных пунктов на базе муниципальных дошкольных образовательных учреждений. </w:t>
            </w:r>
          </w:p>
          <w:p w:rsidR="00CC576A" w:rsidRDefault="001B46C3">
            <w:r>
              <w:rPr>
                <w:rFonts w:ascii="Liberation Serif" w:hAnsi="Liberation Serif"/>
                <w:color w:val="000000"/>
              </w:rPr>
              <w:t xml:space="preserve">3. </w:t>
            </w:r>
            <w:r>
              <w:rPr>
                <w:rFonts w:ascii="Liberation Serif" w:hAnsi="Liberation Serif"/>
                <w:color w:val="000000"/>
              </w:rPr>
              <w:t>Регулирование предельной численности детей в группах муниципальных дошкольных образовательных учреждений.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Доля детей в возрасте от одного года до шести лет, состоящих на учете для определения в муниципальные дошкольные образовательные учреждения, в </w:t>
            </w:r>
            <w:r>
              <w:rPr>
                <w:rFonts w:ascii="Liberation Serif" w:hAnsi="Liberation Serif" w:cs="Times New Roman"/>
              </w:rPr>
              <w:t>общей численности детей в возрасте от одного года до шести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23,40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Планировалось введение в эксплуатацию ДОУ № 50 на 280 мест в 2020 году. Срок перенесен на 2021 год.</w:t>
            </w:r>
          </w:p>
          <w:p w:rsidR="00CC576A" w:rsidRDefault="001B46C3">
            <w:r>
              <w:rPr>
                <w:rFonts w:ascii="Liberation Serif" w:hAnsi="Liberation Serif"/>
                <w:color w:val="000000"/>
              </w:rPr>
              <w:t>2. Регулирование предельной численности детей в группах муниципальных</w:t>
            </w:r>
            <w:r>
              <w:rPr>
                <w:rFonts w:ascii="Liberation Serif" w:hAnsi="Liberation Serif"/>
                <w:color w:val="000000"/>
              </w:rPr>
              <w:t xml:space="preserve"> дошкольных образовательных учреждений.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Общее и дополнительное образование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sz w:val="20"/>
                <w:szCs w:val="20"/>
              </w:rPr>
              <w:t>Объем финансирования позволяет муниципальной системе образования стабильно функционировать, оплачивать расходы по содержанию зданий образовательных учреждений, вести замену устаревшего оборудования, мебели, приобретать компьютерную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оргтехнику, учебники и наглядные пособия для кабинетов, поощрять талантливых учеников, оплачивать транспортные услуги для участия творческих коллективов и спортивных команд в различных конкурсах и соревнованиях, предоставлять возможности педагогам повыш</w:t>
            </w:r>
            <w:r>
              <w:rPr>
                <w:rFonts w:ascii="Liberation Serif" w:hAnsi="Liberation Serif"/>
                <w:sz w:val="20"/>
                <w:szCs w:val="20"/>
              </w:rPr>
              <w:t>ать свою квалификацию на курсах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ind w:left="34"/>
              <w:jc w:val="center"/>
            </w:pPr>
            <w:r>
              <w:rPr>
                <w:rFonts w:ascii="Liberation Serif" w:hAnsi="Liberation Serif"/>
              </w:rPr>
              <w:t>86,40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Ежегодные медицинские осмотры обучающихся</w:t>
            </w:r>
          </w:p>
          <w:p w:rsidR="00CC576A" w:rsidRDefault="001B46C3">
            <w:pPr>
              <w:suppressLineNumbers/>
              <w:ind w:left="34"/>
            </w:pPr>
            <w:r>
              <w:rPr>
                <w:rFonts w:ascii="Liberation Serif" w:hAnsi="Liberation Serif"/>
                <w:color w:val="000000"/>
              </w:rPr>
              <w:t xml:space="preserve">2. Использование здоровье </w:t>
            </w:r>
            <w:r>
              <w:rPr>
                <w:rFonts w:ascii="Liberation Serif" w:hAnsi="Liberation Serif"/>
                <w:color w:val="000000"/>
              </w:rPr>
              <w:t>сберегающих технологий в образовательном процессе.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ind w:left="34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98,60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ind w:left="34"/>
            </w:pPr>
            <w:r>
              <w:rPr>
                <w:rFonts w:ascii="Liberation Serif" w:hAnsi="Liberation Serif"/>
                <w:color w:val="000000"/>
              </w:rPr>
              <w:t xml:space="preserve">Увеличение расходов муниципального </w:t>
            </w:r>
            <w:r>
              <w:rPr>
                <w:rFonts w:ascii="Liberation Serif" w:hAnsi="Liberation Serif"/>
                <w:color w:val="000000"/>
              </w:rPr>
              <w:t>бюджета на общее образование в расчете на 1-го обучающегося в учреждениях.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</w:t>
            </w:r>
            <w:r>
              <w:rPr>
                <w:rFonts w:ascii="Liberation Serif" w:hAnsi="Liberation Serif" w:cs="Times New Roman"/>
              </w:rPr>
              <w:t>ости детей данной возрастной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70,50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Увеличение охвата несовершеннолетних дополнительным образованием детей в учреждениях дополнительного образования детей. </w:t>
            </w:r>
          </w:p>
          <w:p w:rsidR="00CC576A" w:rsidRDefault="001B46C3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Увеличение охвата несовершеннолетних дополнительным образованием детей </w:t>
            </w:r>
            <w:r>
              <w:rPr>
                <w:rFonts w:ascii="Liberation Serif" w:hAnsi="Liberation Serif"/>
                <w:color w:val="000000"/>
              </w:rPr>
              <w:t>в общеобразовательных учреждениях.</w:t>
            </w:r>
          </w:p>
        </w:tc>
      </w:tr>
    </w:tbl>
    <w:p w:rsidR="00CC576A" w:rsidRDefault="00CC576A">
      <w:pPr>
        <w:pageBreakBefore/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276"/>
        <w:gridCol w:w="1559"/>
        <w:gridCol w:w="5324"/>
      </w:tblGrid>
      <w:tr w:rsidR="00CC576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Культура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a8"/>
              <w:suppressLineNumbers/>
              <w:suppressAutoHyphens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</w:t>
            </w:r>
            <w:r>
              <w:rPr>
                <w:rFonts w:ascii="Liberation Serif" w:hAnsi="Liberation Serif"/>
                <w:sz w:val="20"/>
                <w:szCs w:val="20"/>
              </w:rPr>
              <w:t>финансирования капитальных ремонтов зданий учреждений культуры в пределах выделенного финансирования.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Физическая культура и спорт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46,80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</w:pPr>
            <w:r>
              <w:rPr>
                <w:rFonts w:ascii="Liberation Serif" w:hAnsi="Liberation Serif"/>
              </w:rPr>
              <w:t xml:space="preserve">Увеличение </w:t>
            </w:r>
            <w:r>
              <w:rPr>
                <w:rFonts w:ascii="Liberation Serif" w:hAnsi="Liberation Serif"/>
              </w:rPr>
              <w:t>количества проводимых массовых спортивных соревнований и мероприятий.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Style w:val="apple-converted-space"/>
                <w:rFonts w:ascii="Liberation Serif" w:hAnsi="Liberation Serif" w:cs="Times New Roman"/>
                <w:color w:val="000000"/>
                <w:shd w:val="clear" w:color="auto" w:fill="FFFFFF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r>
              <w:rPr>
                <w:rFonts w:ascii="Liberation Serif" w:hAnsi="Liberation Serif"/>
              </w:rPr>
              <w:t xml:space="preserve">1. Увеличение количества обучающихся в </w:t>
            </w:r>
            <w:r>
              <w:rPr>
                <w:rFonts w:ascii="Liberation Serif" w:hAnsi="Liberation Serif"/>
              </w:rPr>
              <w:t xml:space="preserve">детско-юношеских спортивных школах. 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Восстановление внутришкольных секций по видам спорта или оздоровительной направленности.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Оказывать содействие и помощь физкультурно-спортивным организациям в проведении внеучебной физкультурно-спортивной работы и </w:t>
            </w:r>
            <w:r>
              <w:rPr>
                <w:rFonts w:ascii="Liberation Serif" w:hAnsi="Liberation Serif"/>
              </w:rPr>
              <w:t>организации спортивных мероприятий среди обучающихся.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Содействовать сохранению и развитию сети образовательных учреждений дополнительного образования детей физкультурно-спортивной направленности.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Общая площадь жилых помещений, приходящаяся в среднем на одного жителя, - всего: в том числе введенная в действие за один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0,97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На территории городского округа Заречный стабильно-высокий темп роста жилищного строительства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.</w:t>
            </w:r>
          </w:p>
          <w:p w:rsidR="00CC576A" w:rsidRDefault="001B46C3">
            <w:pPr>
              <w:jc w:val="both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Целевые ориентиры достигнуты.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28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Площадь земельных участков, предоставленных для строительства в расчете на 10 тыс. человек населения, гектаров всего:</w:t>
            </w:r>
          </w:p>
          <w:p w:rsidR="00CC576A" w:rsidRDefault="001B46C3">
            <w:pPr>
              <w:pStyle w:val="ConsPlusCell"/>
              <w:jc w:val="both"/>
            </w:pPr>
            <w:r>
              <w:rPr>
                <w:rFonts w:ascii="Liberation Serif" w:hAnsi="Liberation Serif" w:cs="Times New Roman"/>
              </w:rPr>
              <w:t xml:space="preserve">- в том числе земельных участков, предоставленных для жилищного строительства, индивидуального </w:t>
            </w:r>
            <w:r>
              <w:rPr>
                <w:rFonts w:ascii="Liberation Serif" w:hAnsi="Liberation Serif" w:cs="Times New Roman"/>
              </w:rPr>
              <w:t>строительства и комплексного освоения в целях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12,84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6,24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4,47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1,37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 Выявление земельных участков, используемых без правоустанавливающих документов.</w:t>
            </w:r>
          </w:p>
          <w:p w:rsidR="00CC576A" w:rsidRDefault="001B46C3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2. Проведение разъяснительной работы с лицами, использующими </w:t>
            </w:r>
            <w:r>
              <w:rPr>
                <w:rFonts w:ascii="Liberation Serif" w:hAnsi="Liberation Serif"/>
                <w:sz w:val="20"/>
              </w:rPr>
              <w:t>земельные участки без оформленных в установленном порядке документов.</w:t>
            </w:r>
          </w:p>
          <w:p w:rsidR="00CC576A" w:rsidRDefault="001B46C3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3. Проведение аукционов на право заключения договоров аренды земельных участков, предназначенных для строительства.</w:t>
            </w:r>
          </w:p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Предоставление земельных участков льготным категориям граждан для и</w:t>
            </w:r>
            <w:r>
              <w:rPr>
                <w:rFonts w:ascii="Liberation Serif" w:hAnsi="Liberation Serif"/>
              </w:rPr>
              <w:t>ндивидуального жилищного строительства.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</w:t>
            </w:r>
            <w:r>
              <w:rPr>
                <w:rFonts w:ascii="Liberation Serif" w:hAnsi="Liberation Serif" w:cs="Times New Roman"/>
              </w:rPr>
              <w:t>которых собственники помещений должны выбрать способ управления указанными домами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территории ГО Заречный собственники помещений всех многоквартирных домов выбрали и реализуют один из способов управления многоквартирными домами.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До</w:t>
            </w:r>
            <w:r>
              <w:rPr>
                <w:rFonts w:ascii="Liberation Serif" w:hAnsi="Liberation Serif" w:cs="Times New Roman"/>
              </w:rPr>
              <w:t>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</w:t>
            </w:r>
            <w:r>
              <w:rPr>
                <w:rFonts w:ascii="Liberation Serif" w:hAnsi="Liberation Serif" w:cs="Times New Roman"/>
              </w:rPr>
              <w:t xml:space="preserve">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</w:t>
            </w:r>
            <w:r>
              <w:rPr>
                <w:rFonts w:ascii="Liberation Serif" w:hAnsi="Liberation Serif" w:cs="Times New Roman"/>
              </w:rPr>
              <w:t>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both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</w:t>
            </w:r>
            <w:r>
              <w:rPr>
                <w:rFonts w:ascii="Liberation Serif" w:hAnsi="Liberation Serif" w:cs="Times New Roman"/>
              </w:rPr>
              <w:t xml:space="preserve"> кадастровый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r>
              <w:rPr>
                <w:rFonts w:ascii="Liberation Serif" w:eastAsia="Calibri" w:hAnsi="Liberation Serif"/>
              </w:rPr>
              <w:t>Планирование средств из местного бюджета на работы по выполнению проектов межевания территории многоквартирных домов на 2022 год.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населения, получившего жилые помещения и улучшившего жилищные условия в </w:t>
            </w:r>
            <w:r>
              <w:rPr>
                <w:rFonts w:ascii="Liberation Serif" w:hAnsi="Liberation Serif" w:cs="Times New Roman"/>
              </w:rPr>
              <w:t>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3,00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Выполнены мероприятия муниципальной программы «Обеспечение жильем молодых семей на территории городского округа Заречный», пр</w:t>
            </w:r>
            <w:r>
              <w:rPr>
                <w:rFonts w:ascii="Liberation Serif" w:hAnsi="Liberation Serif"/>
              </w:rPr>
              <w:t>едоставлена финансовая поддержка молодым семьям;</w:t>
            </w:r>
          </w:p>
          <w:p w:rsidR="00CC576A" w:rsidRDefault="001B46C3"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  <w:color w:val="000000"/>
              </w:rPr>
              <w:t xml:space="preserve">Исполнены меры социальной поддержки граждан по обеспечению жильем, установленных Федеральными </w:t>
            </w:r>
            <w:hyperlink r:id="rId10" w:history="1">
              <w:r>
                <w:rPr>
                  <w:rFonts w:ascii="Liberation Serif" w:hAnsi="Liberation Serif"/>
                  <w:color w:val="000000"/>
                </w:rPr>
                <w:t>законами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от 12 января 1995 года </w:t>
            </w:r>
            <w:hyperlink r:id="rId11" w:history="1">
              <w:r>
                <w:rPr>
                  <w:rFonts w:ascii="Liberation Serif" w:hAnsi="Liberation Serif"/>
                  <w:color w:val="000000"/>
                </w:rPr>
                <w:t>№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5-ФЗ «О ветеранах» и от 24 ноября 1995 года </w:t>
            </w:r>
            <w:hyperlink r:id="rId12" w:history="1">
              <w:r>
                <w:rPr>
                  <w:rFonts w:ascii="Liberation Serif" w:hAnsi="Liberation Serif"/>
                  <w:color w:val="000000"/>
                </w:rPr>
                <w:t>№ 181-ФЗ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«О социальной защите инвалидов в Российской Федерации».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Организация муниципального управления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налоговых и неналоговых доходов местного </w:t>
            </w:r>
            <w:r>
              <w:rPr>
                <w:rFonts w:ascii="Liberation Serif" w:hAnsi="Liberation Serif" w:cs="Times New Roman"/>
              </w:rPr>
              <w:t xml:space="preserve">бюджета (за исключением </w:t>
            </w:r>
            <w:r>
              <w:rPr>
                <w:rFonts w:ascii="Liberation Serif" w:hAnsi="Liberation Serif" w:cs="Times New Roman"/>
              </w:rP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29,70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Создание оптимальной системы управления муни</w:t>
            </w:r>
            <w:r>
              <w:rPr>
                <w:rFonts w:ascii="Liberation Serif" w:hAnsi="Liberation Serif"/>
              </w:rPr>
              <w:t xml:space="preserve">ципальным имуществом для получения максимально </w:t>
            </w:r>
            <w:r>
              <w:rPr>
                <w:rFonts w:ascii="Liberation Serif" w:hAnsi="Liberation Serif"/>
              </w:rPr>
              <w:lastRenderedPageBreak/>
              <w:t>возможного объема неналоговых доходов;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Усиление системы администрирования налоговых и неналоговых доходов в целях повышения их собираемости и минимизации недоимки.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</w:pPr>
            <w:r>
              <w:rPr>
                <w:rFonts w:ascii="Liberation Serif" w:hAnsi="Liberation Serif" w:cs="Times New Roman"/>
              </w:rPr>
              <w:t xml:space="preserve">Расходы бюджета муниципального </w:t>
            </w:r>
            <w:r>
              <w:rPr>
                <w:rFonts w:ascii="Liberation Serif" w:hAnsi="Liberation Serif" w:cs="Times New Roman"/>
              </w:rPr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1 606,00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Ежегодный рост не более 4-5%.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организацией транспортного обслуживания в мун</w:t>
            </w:r>
            <w:r>
              <w:rPr>
                <w:rFonts w:ascii="Liberation Serif" w:hAnsi="Liberation Serif" w:cs="Times New Roman"/>
                <w:color w:val="000000"/>
              </w:rPr>
              <w:t>иципальном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с портала «Открытое Правительство». 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с портала «Открытое Правительство». 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89,75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с портала «Открытое Правительство».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улучшение демографической ситуации будут направлены меры в соответствии с Указом Президента Российской Федерации от 7 мая 2018 года № 204 «О национальных целях и </w:t>
            </w:r>
            <w:r>
              <w:rPr>
                <w:rFonts w:ascii="Liberation Serif" w:hAnsi="Liberation Serif"/>
              </w:rPr>
              <w:t>стратегических задачах развития российской федерации на период до 2024 года», в связи с чем, на период до 2024 года планируется небольшой рост показателя.</w:t>
            </w:r>
          </w:p>
        </w:tc>
      </w:tr>
    </w:tbl>
    <w:p w:rsidR="00CC576A" w:rsidRDefault="00CC576A">
      <w:pPr>
        <w:pageBreakBefore/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276"/>
        <w:gridCol w:w="1559"/>
        <w:gridCol w:w="5324"/>
      </w:tblGrid>
      <w:tr w:rsidR="00CC576A">
        <w:tblPrEx>
          <w:tblCellMar>
            <w:top w:w="0" w:type="dxa"/>
            <w:bottom w:w="0" w:type="dxa"/>
          </w:tblCellMar>
        </w:tblPrEx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Удельная величина потребления </w:t>
            </w:r>
            <w:r>
              <w:rPr>
                <w:rFonts w:ascii="Liberation Serif" w:hAnsi="Liberation Serif" w:cs="Times New Roman"/>
              </w:rPr>
              <w:t>энергетических ресурсов в многоквартирных домах: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/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r>
              <w:rPr>
                <w:rFonts w:ascii="Liberation Serif" w:hAnsi="Liberation Serif"/>
              </w:rPr>
      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энергия;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кВт/ч на 1 проживающего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935,50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935,50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энергия;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Гкал на 1 кв. м. общ. площади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вода;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куб. метров 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проживающего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вода;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природный газ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куб. метров на 1 </w:t>
            </w:r>
            <w:r>
              <w:rPr>
                <w:rFonts w:ascii="Liberation Serif" w:hAnsi="Liberation Serif"/>
              </w:rPr>
              <w:t>проживающего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both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jc w:val="center"/>
            </w:pP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Энергетическое обследование.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Реконструкция тепловых сетей.</w:t>
            </w:r>
          </w:p>
          <w:p w:rsidR="00CC576A" w:rsidRDefault="001B46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Проведение гидравлической регулировки, автоматической/ручной</w:t>
            </w:r>
            <w:r>
              <w:rPr>
                <w:rFonts w:ascii="Liberation Serif" w:hAnsi="Liberation Serif"/>
              </w:rPr>
              <w:t xml:space="preserve"> балансировки распределительных систем отопления и стояков.</w:t>
            </w: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кВт/ч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0,27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0,27</w:t>
            </w:r>
          </w:p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</w:t>
            </w:r>
          </w:p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1,20</w:t>
            </w:r>
          </w:p>
          <w:p w:rsidR="00CC576A" w:rsidRDefault="00CC576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1,20</w:t>
            </w:r>
          </w:p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CC576A" w:rsidRDefault="00CC57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CC576A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природный газ</w:t>
            </w:r>
          </w:p>
          <w:p w:rsidR="00CC576A" w:rsidRDefault="00CC576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1B46C3">
            <w:pPr>
              <w:jc w:val="center"/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6A" w:rsidRDefault="00CC576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C576A" w:rsidRDefault="00CC576A">
      <w:pPr>
        <w:rPr>
          <w:rFonts w:ascii="Liberation Serif" w:hAnsi="Liberation Serif"/>
          <w:sz w:val="28"/>
          <w:szCs w:val="28"/>
        </w:rPr>
      </w:pPr>
    </w:p>
    <w:sectPr w:rsidR="00CC576A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3" w:rsidRDefault="001B46C3">
      <w:r>
        <w:separator/>
      </w:r>
    </w:p>
  </w:endnote>
  <w:endnote w:type="continuationSeparator" w:id="0">
    <w:p w:rsidR="001B46C3" w:rsidRDefault="001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CB" w:rsidRDefault="001B46C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CB" w:rsidRDefault="001B46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3" w:rsidRDefault="001B46C3">
      <w:r>
        <w:rPr>
          <w:color w:val="000000"/>
        </w:rPr>
        <w:separator/>
      </w:r>
    </w:p>
  </w:footnote>
  <w:footnote w:type="continuationSeparator" w:id="0">
    <w:p w:rsidR="001B46C3" w:rsidRDefault="001B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CB" w:rsidRDefault="001B46C3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076CB" w:rsidRDefault="001B46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CB" w:rsidRDefault="001B46C3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933DF">
      <w:rPr>
        <w:noProof/>
      </w:rPr>
      <w:t>9</w:t>
    </w:r>
    <w:r>
      <w:fldChar w:fldCharType="end"/>
    </w:r>
  </w:p>
  <w:p w:rsidR="006076CB" w:rsidRDefault="001B46C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CB" w:rsidRDefault="001B46C3">
    <w:pPr>
      <w:pStyle w:val="aa"/>
      <w:jc w:val="center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576A"/>
    <w:rsid w:val="00095DD9"/>
    <w:rsid w:val="001B46C3"/>
    <w:rsid w:val="007933DF"/>
    <w:rsid w:val="00C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274"/>
  <w15:docId w15:val="{786F5B13-15E5-402E-963C-120D686D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customStyle="1" w:styleId="ae">
    <w:name w:val="Основной текст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A0B567639CA94A1250DE04A8B8A414D31024872AC8C6A2061FC511F955C3381186E10CC091E24CmDh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3A0B567639CA94A1250DE04A8B8A414D310248725CEC6A2061FC511F955C3381186E10FC2m9h2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3A0B567639CA94A1250DE04A8B8A414D310248725CEC6A2061FC511F955C3381186E10FC5m9h9G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2017-03-28T03:42:00Z</cp:lastPrinted>
  <dcterms:created xsi:type="dcterms:W3CDTF">2021-04-09T06:18:00Z</dcterms:created>
  <dcterms:modified xsi:type="dcterms:W3CDTF">2021-04-09T06:18:00Z</dcterms:modified>
</cp:coreProperties>
</file>