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mbeddings/oleObject1.doc" ContentType="application/msword"/>
  <Override PartName="/word/media/image1.wmf" ContentType="image/x-wm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header7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jc w:val="center"/>
        <w:rPr>
          <w:rFonts w:ascii="Liberation Serif" w:hAnsi="Liberation Serif" w:eastAsia="Times New Roman" w:cs="Times New Roman"/>
          <w:b/>
          <w:caps/>
          <w:sz w:val="28"/>
          <w:szCs w:val="28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pt;height:49.2pt;mso-wrap-distance-right:0pt" filled="f" o:ole="">
            <v:imagedata r:id="rId3" o:title=""/>
          </v:shape>
          <o:OLEObject Type="Embed" ProgID="Word.Document.8" ShapeID="ole_rId2" DrawAspect="Content" ObjectID="_1989136109" r:id="rId2"/>
        </w:objec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18"/>
          <w:szCs w:val="20"/>
          <w:lang w:eastAsia="ru-RU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Прямая соединительная линия 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от____</w:t>
      </w:r>
      <w:r>
        <w:rPr>
          <w:rFonts w:eastAsia="Times New Roman" w:cs="Times New Roman" w:ascii="Liberation Serif" w:hAnsi="Liberation Serif"/>
          <w:sz w:val="24"/>
          <w:szCs w:val="20"/>
          <w:u w:val="single"/>
          <w:lang w:eastAsia="ru-RU"/>
        </w:rPr>
        <w:t>18.11.2019</w:t>
      </w: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_____  №  ___</w:t>
      </w:r>
      <w:r>
        <w:rPr>
          <w:rFonts w:eastAsia="Times New Roman" w:cs="Times New Roman" w:ascii="Liberation Serif" w:hAnsi="Liberation Serif"/>
          <w:sz w:val="24"/>
          <w:szCs w:val="20"/>
          <w:u w:val="single"/>
          <w:lang w:eastAsia="ru-RU"/>
        </w:rPr>
        <w:t>1158-П</w:t>
      </w:r>
      <w:r>
        <w:rPr>
          <w:rFonts w:eastAsia="Times New Roman" w:cs="Times New Roman" w:ascii="Liberation Serif" w:hAnsi="Liberation Serif"/>
          <w:sz w:val="24"/>
          <w:szCs w:val="20"/>
          <w:lang w:eastAsia="ru-RU"/>
        </w:rPr>
        <w:t>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812" w:hanging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г. Заречный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>Об утверждении муниципальной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>«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Реализация мероприятий в области градостроительной деятельности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/>
          <w:bCs/>
          <w:kern w:val="2"/>
          <w:sz w:val="28"/>
          <w:szCs w:val="28"/>
          <w:lang w:eastAsia="x-none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в городском округе Заречный до 2026 года</w:t>
      </w: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x-none"/>
        </w:rPr>
        <w:t>»</w:t>
      </w:r>
      <w:r>
        <w:rPr>
          <w:rFonts w:eastAsia="Times New Roman" w:cs="Liberation Serif" w:ascii="Liberation Serif" w:hAnsi="Liberation Serif"/>
          <w:b/>
          <w:bCs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Cs/>
          <w:kern w:val="2"/>
          <w:sz w:val="24"/>
          <w:szCs w:val="24"/>
          <w:lang w:eastAsia="x-none"/>
        </w:rPr>
      </w:pPr>
      <w:r>
        <w:rPr>
          <w:rFonts w:eastAsia="Times New Roman" w:cs="Liberation Serif" w:ascii="Liberation Serif" w:hAnsi="Liberation Serif"/>
          <w:bCs/>
          <w:kern w:val="2"/>
          <w:sz w:val="24"/>
          <w:szCs w:val="24"/>
          <w:lang w:eastAsia="x-none"/>
        </w:rPr>
        <w:t>(в редакции постановлений от 22.12.2020 № 1007-П, от 29.01.2021 № 83-П,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Cs/>
          <w:kern w:val="2"/>
          <w:sz w:val="24"/>
          <w:szCs w:val="24"/>
          <w:lang w:eastAsia="x-none"/>
        </w:rPr>
      </w:pPr>
      <w:r>
        <w:rPr>
          <w:rFonts w:eastAsia="Times New Roman" w:cs="Liberation Serif" w:ascii="Liberation Serif" w:hAnsi="Liberation Serif"/>
          <w:bCs/>
          <w:kern w:val="2"/>
          <w:sz w:val="24"/>
          <w:szCs w:val="24"/>
          <w:lang w:eastAsia="x-none"/>
        </w:rPr>
        <w:t xml:space="preserve">от 27.08.2021 № 871-П, от 24.03.2022 № 357-П, от 25.08.2022 № 1093-П,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Cs/>
          <w:kern w:val="2"/>
          <w:sz w:val="24"/>
          <w:szCs w:val="24"/>
          <w:lang w:eastAsia="x-none"/>
        </w:rPr>
      </w:pPr>
      <w:r>
        <w:rPr>
          <w:rFonts w:eastAsia="Times New Roman" w:cs="Liberation Serif" w:ascii="Liberation Serif" w:hAnsi="Liberation Serif"/>
          <w:bCs/>
          <w:kern w:val="2"/>
          <w:sz w:val="24"/>
          <w:szCs w:val="24"/>
          <w:lang w:eastAsia="x-none"/>
        </w:rPr>
        <w:t>от 02.12.2022 № 1480-П, от 30.03.2023 № 383-П, от 06.04.2023 № 423-П, от 10.08.2023 № 958-П, от 15.12.2023 № 1626-П)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Cs/>
          <w:kern w:val="2"/>
          <w:sz w:val="28"/>
          <w:szCs w:val="28"/>
          <w:lang w:eastAsia="x-none"/>
        </w:rPr>
      </w:pP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Liberation Serif" w:hAnsi="Liberation Serif" w:eastAsia="Times New Roman" w:cs="Liberation Serif"/>
          <w:bCs/>
          <w:kern w:val="2"/>
          <w:sz w:val="28"/>
          <w:szCs w:val="28"/>
          <w:lang w:eastAsia="x-none"/>
        </w:rPr>
      </w:pP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x-non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 изменениями), постановлением администрации городского округа Заречный от 19.08.2019             № 840-П «Об утверждении перечня муниципальных программ городского округа Заречный, подлежащих разработке в 2019 году», на основании ст. ст. 28, 31 Устава городского округа Заречный администрация городского округа Заречный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Liberation Serif" w:hAnsi="Liberation Serif" w:eastAsia="Times New Roman" w:cs="Liberation Serif"/>
          <w:bCs/>
          <w:kern w:val="2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ru-RU"/>
        </w:rPr>
        <w:t>1. Утвердить муниципальную программу «Реализация мероприятий в области градостроительной деятельности в городском округе Заречный до 2026 года</w:t>
      </w: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x-none"/>
        </w:rPr>
        <w:t>»</w:t>
      </w: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x-none"/>
        </w:rPr>
        <w:t>(прилагается).</w:t>
      </w:r>
      <w:r>
        <w:rPr>
          <w:rFonts w:eastAsia="Times New Roman" w:cs="Liberation Serif" w:ascii="Liberation Serif" w:hAnsi="Liberation Serif"/>
          <w:bCs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 Разместить настоящее постановление на официальном Интернет-сайте городского округа Заречный.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37"/>
        <w:gridCol w:w="2410"/>
        <w:gridCol w:w="3174"/>
      </w:tblGrid>
      <w:tr>
        <w:trPr/>
        <w:tc>
          <w:tcPr>
            <w:tcW w:w="43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  <w:bookmarkEnd w:id="0"/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  <w:r>
        <w:br w:type="page"/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7"/>
        <w:gridCol w:w="9905"/>
      </w:tblGrid>
      <w:tr>
        <w:trPr>
          <w:trHeight w:val="360" w:hRule="atLeast"/>
        </w:trPr>
        <w:tc>
          <w:tcPr>
            <w:tcW w:w="1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99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372" w:hanging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УТВЕРЖДЕНА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72" w:hanging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72" w:hanging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городского округа Заречный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72" w:hanging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от____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u w:val="single"/>
                <w:lang w:eastAsia="ru-RU"/>
              </w:rPr>
              <w:t>18.11.2019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_____  №  ___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u w:val="single"/>
                <w:lang w:eastAsia="ru-RU"/>
              </w:rPr>
              <w:t>1158-П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____ «Об утверждении муниципальной программы «Реализация мероприятий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72" w:hanging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 области градостроительной деятельности в городском округе Заречный до 2026 года»</w:t>
            </w:r>
          </w:p>
        </w:tc>
      </w:tr>
      <w:tr>
        <w:trPr>
          <w:trHeight w:val="150" w:hRule="exact"/>
        </w:trPr>
        <w:tc>
          <w:tcPr>
            <w:tcW w:w="99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«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 xml:space="preserve">Реализация мероприятий в области градостроительной деятельности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в городском округе Заречный до 2026 года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9917" w:type="dxa"/>
        <w:jc w:val="left"/>
        <w:tblInd w:w="-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000" w:noHBand="0" w:noVBand="0" w:firstColumn="0" w:lastRow="0" w:lastColumn="0" w:firstRow="0"/>
      </w:tblPr>
      <w:tblGrid>
        <w:gridCol w:w="3603"/>
        <w:gridCol w:w="792"/>
        <w:gridCol w:w="5522"/>
      </w:tblGrid>
      <w:tr>
        <w:trPr>
          <w:trHeight w:val="501" w:hRule="atLeast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>
        <w:trPr>
          <w:trHeight w:val="494" w:hRule="atLeast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92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2020 -</w:t>
            </w:r>
          </w:p>
        </w:tc>
        <w:tc>
          <w:tcPr>
            <w:tcW w:w="5522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2026 годы</w:t>
            </w:r>
          </w:p>
        </w:tc>
      </w:tr>
      <w:tr>
        <w:trPr>
          <w:trHeight w:val="3900" w:hRule="atLeast"/>
        </w:trPr>
        <w:tc>
          <w:tcPr>
            <w:tcW w:w="3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Цель.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Задачи:</w:t>
              <w:br/>
              <w:t>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2. Обеспечение городского округа Заречный документацией по планировке территории.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3. Развитие информационной системы обеспечения градостроительной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4. Увеличение объемов вводимого жилья на территории городского округа Заречный.</w:t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756" w:hRule="atLeast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63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>
          <w:trHeight w:val="1659" w:hRule="atLeast"/>
        </w:trPr>
        <w:tc>
          <w:tcPr>
            <w:tcW w:w="3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1. Доля территории городского округа Заречный, обеспеченная документами территориального планирования и градостроительного зонирования.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2. Доля территории городского округа Заречный, обеспеченная документацией по планировке и межеванию территорий.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3. Доля территорий городского округа Заречный, обеспеченная цифровыми топографическими картами.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4. Доля муниципальных услуг в сфере градостроительства, предоставляемых в электронном виде.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5. Объем ввода жилья за отчетный период.</w:t>
            </w:r>
          </w:p>
        </w:tc>
      </w:tr>
      <w:tr>
        <w:trPr>
          <w:trHeight w:val="585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44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Объем финансирования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программы по годам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реализации, рублей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20 713 237,91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 xml:space="preserve">2020 год - 1 111 500,00 рублей, </w:t>
              <w:br/>
              <w:t xml:space="preserve">2021 год - 1 150 800,00 рублей, </w:t>
              <w:br/>
              <w:t xml:space="preserve">2022 год – 1 141 730,05 рублей, </w:t>
              <w:br/>
              <w:t xml:space="preserve">2023 год – 846 929,86 рублей, </w:t>
              <w:br/>
              <w:t xml:space="preserve">2024 год — 3 106 139,00 рублей, </w:t>
              <w:br/>
              <w:t xml:space="preserve">2025 год - 11 156 139,00 рублей, </w:t>
              <w:br/>
              <w:t>2026 год - 2 200 000,00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местный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20 713 237,91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 xml:space="preserve">2020 год - 1 111 500,00 рублей, </w:t>
              <w:br/>
              <w:t xml:space="preserve">2021 год - 1 150 800,00 рублей, </w:t>
              <w:br/>
              <w:t xml:space="preserve">2022 год – 1 141 730,05 рублей, </w:t>
              <w:br/>
              <w:t xml:space="preserve">2023 год – 846 929,86 рублей, </w:t>
              <w:br/>
              <w:t xml:space="preserve">2024 год — 3 106 139,00 рублей, </w:t>
              <w:br/>
              <w:t xml:space="preserve">2025 год - 11 156 139,00 рублей, </w:t>
              <w:br/>
              <w:t>2026 год - 2 200 000,00 рублей</w:t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28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813" w:hRule="atLeast"/>
        </w:trPr>
        <w:tc>
          <w:tcPr>
            <w:tcW w:w="360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Адрес размещения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программы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информационно-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телекоммуникационной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6" w:hanging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  <w:t>http://gorod-zarechny.ru/</w:t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3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314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Calibri" w:cs="Liberation Serif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Раздел 1. Характеристика и анализ текущего состояния градостроительной деятельности в городском округе Заречный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Предполагается, что в ближайшие годы наиболее активно будут развиваться и застраиваться село Мезенское и деревни Боярка, Гагарка, Курманка, расположенные в лучших ландшафтно-рекреационных условиях, осваиваемые как под дачное строительство (2-е жилье), так и под индивидуальное жилье, в том числе с приусадебным хозяйством.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Стоит отметить, что часть территории городского округа Заречный неблагоприятна или ограниченно неблагоприятна для размещения жилищно-гражданского строительства и сельскохозяйственного использования, что необходимо учитывать при принятии решений о дальнейшем пространственном развитии городского округа. Особо неблагоприятными природными и техногенными факторами на территории городского округа Заречный являются: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- катастрофическое затопление поймы реки Пышма при аварийном разрушении плотины;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 xml:space="preserve">- зона планирования обязательных защитных мероприятий на случай запроектной аварии на БАЭС – </w:t>
      </w:r>
      <w:r>
        <w:rPr>
          <w:rFonts w:eastAsia="Times New Roman" w:cs="Arial" w:ascii="Liberation Serif" w:hAnsi="Liberation Serif"/>
          <w:sz w:val="28"/>
          <w:szCs w:val="28"/>
          <w:lang w:val="en-US" w:eastAsia="ru-RU"/>
        </w:rPr>
        <w:t>r</w:t>
      </w:r>
      <w:r>
        <w:rPr>
          <w:rFonts w:eastAsia="Times New Roman" w:cs="Arial" w:ascii="Liberation Serif" w:hAnsi="Liberation Serif"/>
          <w:sz w:val="28"/>
          <w:szCs w:val="28"/>
          <w:lang w:eastAsia="ru-RU"/>
        </w:rPr>
        <w:t xml:space="preserve"> 10 км.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- уклоны поверхности более 0,200.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Кроме того, природными факторами, ограничивающими использование территории для строительства, являются: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1. Защитные федеральные леса;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2. Уклоны поверхности менее 0,005, требующие применения дополнительных мероприятий по инженерной подготовке.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Они распространены на ранее приватизированных сельскохозяйственных паях.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Liberation Serif" w:hAnsi="Liberation Serif" w:cs="Arial"/>
          <w:bCs/>
          <w:i/>
          <w:i/>
          <w:kern w:val="2"/>
          <w:sz w:val="28"/>
          <w:szCs w:val="28"/>
          <w:lang w:eastAsia="ar-SA"/>
        </w:rPr>
      </w:pPr>
      <w:r>
        <w:rPr>
          <w:rFonts w:cs="Arial" w:ascii="Liberation Serif" w:hAnsi="Liberation Serif"/>
          <w:bCs/>
          <w:i/>
          <w:kern w:val="2"/>
          <w:sz w:val="28"/>
          <w:szCs w:val="28"/>
          <w:lang w:eastAsia="ar-SA"/>
        </w:rPr>
        <w:t>Информация об ограничениях развития территории городского округа</w:t>
      </w:r>
      <w:r>
        <w:rPr>
          <w:rFonts w:cs="Arial" w:ascii="Liberation Serif" w:hAnsi="Liberation Serif"/>
          <w:i/>
          <w:sz w:val="28"/>
          <w:szCs w:val="28"/>
        </w:rPr>
        <w:t xml:space="preserve"> </w:t>
      </w:r>
      <w:r>
        <w:rPr>
          <w:rFonts w:cs="Arial" w:ascii="Liberation Serif" w:hAnsi="Liberation Serif"/>
          <w:bCs/>
          <w:i/>
          <w:kern w:val="2"/>
          <w:sz w:val="28"/>
          <w:szCs w:val="28"/>
          <w:lang w:eastAsia="ar-SA"/>
        </w:rPr>
        <w:t>Заречный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 Unicode MS" w:cs="Arial"/>
          <w:kern w:val="2"/>
          <w:sz w:val="28"/>
          <w:szCs w:val="28"/>
          <w:lang w:eastAsia="ar-SA"/>
        </w:rPr>
      </w:pPr>
      <w:r>
        <w:rPr>
          <w:rFonts w:eastAsia="Arial Unicode MS" w:cs="Arial" w:ascii="Liberation Serif" w:hAnsi="Liberation Serif"/>
          <w:kern w:val="2"/>
          <w:sz w:val="28"/>
          <w:szCs w:val="28"/>
          <w:lang w:eastAsia="ar-SA"/>
        </w:rPr>
        <w:t xml:space="preserve">На территории городского округа Заречный были определены следующие виды ограничений, оказывающих влияние на развитие планировочной структуры территории: санитарно-защитные зоны (СЗЗ) предприятий, сооружений и иных объектов; санитарные разрывы; водоохранные зоны; зоны санитарной охраны источников питьевого водоснабжения; охранные зоны;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 Unicode MS" w:cs="Arial"/>
          <w:kern w:val="2"/>
          <w:sz w:val="28"/>
          <w:szCs w:val="28"/>
          <w:lang w:eastAsia="ar-SA"/>
        </w:rPr>
      </w:pPr>
      <w:r>
        <w:rPr>
          <w:rFonts w:eastAsia="Arial Unicode MS" w:cs="Arial" w:ascii="Liberation Serif" w:hAnsi="Liberation Serif"/>
          <w:kern w:val="2"/>
          <w:sz w:val="28"/>
          <w:szCs w:val="28"/>
          <w:lang w:eastAsia="ar-SA"/>
        </w:rPr>
        <w:t>придорожные полосы автодорог; приаэродромные территории; строительные ограничения.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kern w:val="2"/>
          <w:sz w:val="28"/>
          <w:szCs w:val="28"/>
          <w:lang w:eastAsia="ar-SA"/>
        </w:rPr>
      </w:pPr>
      <w:r>
        <w:rPr>
          <w:rFonts w:eastAsia="Times New Roman" w:cs="Arial" w:ascii="Liberation Serif" w:hAnsi="Liberation Serif"/>
          <w:kern w:val="2"/>
          <w:sz w:val="28"/>
          <w:szCs w:val="28"/>
          <w:lang w:eastAsia="ar-SA"/>
        </w:rPr>
        <w:t>Промышленные предприятия должны иметь утвержденные проекты санитарно-защитных зон. Разработанные и утвержденные проекты СЗЗ имеются только для двух промышленных предприятий, расположенных на территории Курманского каменно-щебеночного карьера (к востоку от д. Курманка) и Гагарской МТФ (филиал СПК «Мезенское», д. Гагарка).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Границы СЗЗ для прочих промышленных предприятий и источников негативного воздействия были определены от границ земельных участков, на которых расположены источники негативного воздействия, а их размеры – в соответствии с требованиями СанПиН 2.2.1/2.1.1.1200-03 «Санитарно-защитные зоны и санитарная классификация предприятий, сооружений и иных объектов» (далее СанПиН 2.2.1/2.1.1.1200-03). Территория населенных пунктов расположена за пределами 3-км санитарно-защитной зоны БАЭС.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 xml:space="preserve">С учетом ограничений, а также с целью обеспечения устойчивого развития и рационального и эффективного использования территории округа, привлечения инвесторов для строительства объектов, предполагается решить вопрос о восстановлении земельных и водных ресурсов, изменить границы населённых пунктов городского округа за счёт изменения категории земель. Источники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-земли лесного фонда (общая площадь такого изменения - 290,4 га);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-земли сельскохозяйственного назначения (общая площадь такого изменения - 126,8 га)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 xml:space="preserve">Такое использование территории создаст дополнительный стимул для формирования округа, обеспечения комфортного проживания и труда его жителей.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В основу стратегии пространственного развития городского округа Заречный положен принцип оптимального упорядочения и развития функциональных зон с чётким выделением жилой, общественно-деловой, производственной и коммунально-складской зон, зон инженерной и транспортной инфраструктуры, зоны рекреационного назначения, зоны специального назначения.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sz w:val="28"/>
          <w:szCs w:val="28"/>
          <w:lang w:eastAsia="ru-RU"/>
        </w:rPr>
        <w:t>Исходным положением стратегии пространственного развития городского округа является сохранение и развитие исторически сложившейся сети населённых пунктов, ориентированное в основном на комплексную реконструкцию уже освоенных территорий и с предложениями развития близлежащих территорий:</w:t>
      </w:r>
    </w:p>
    <w:p>
      <w:pPr>
        <w:pStyle w:val="Normal"/>
        <w:tabs>
          <w:tab w:val="clear" w:pos="708"/>
          <w:tab w:val="left" w:pos="1134" w:leader="none"/>
          <w:tab w:val="left" w:pos="1429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Symbol" w:cs="Arial" w:ascii="Liberation Serif" w:hAnsi="Liberation Serif"/>
          <w:sz w:val="28"/>
          <w:szCs w:val="28"/>
          <w:lang w:eastAsia="ru-RU"/>
        </w:rPr>
        <w:t xml:space="preserve">- </w:t>
      </w:r>
      <w:r>
        <w:rPr>
          <w:rFonts w:eastAsia="Times New Roman" w:cs="Arial" w:ascii="Liberation Serif" w:hAnsi="Liberation Serif"/>
          <w:sz w:val="28"/>
          <w:szCs w:val="28"/>
          <w:lang w:eastAsia="ru-RU"/>
        </w:rPr>
        <w:t>усовершенствование планировочной структуры и функционального зонирования территории городского округа, что способствует дальнейшему развитию отраслей хозяйства, на основе сложившегося экономического потенциала и новых экономических факторов в условиях рыночных отношений;</w:t>
      </w:r>
    </w:p>
    <w:p>
      <w:pPr>
        <w:pStyle w:val="Normal"/>
        <w:tabs>
          <w:tab w:val="clear" w:pos="708"/>
          <w:tab w:val="left" w:pos="1134" w:leader="none"/>
          <w:tab w:val="left" w:pos="1429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Symbol" w:cs="Arial" w:ascii="Liberation Serif" w:hAnsi="Liberation Serif"/>
          <w:sz w:val="28"/>
          <w:szCs w:val="28"/>
          <w:lang w:eastAsia="ru-RU"/>
        </w:rPr>
        <w:t xml:space="preserve">- </w:t>
      </w:r>
      <w:r>
        <w:rPr>
          <w:rFonts w:eastAsia="Times New Roman" w:cs="Arial" w:ascii="Liberation Serif" w:hAnsi="Liberation Serif"/>
          <w:sz w:val="28"/>
          <w:szCs w:val="28"/>
          <w:lang w:eastAsia="ru-RU"/>
        </w:rPr>
        <w:t>определение зон планируемого размещения объектов капитального строительства местного значения, что в градостроительном отношении означает создание на этих территориях современных стандартов организации жилой, производственной, рекреационной среды.</w:t>
      </w:r>
    </w:p>
    <w:p>
      <w:pPr>
        <w:sectPr>
          <w:headerReference w:type="default" r:id="rId4"/>
          <w:type w:val="nextPage"/>
          <w:pgSz w:w="11906" w:h="16838"/>
          <w:pgMar w:left="1418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tabs>
          <w:tab w:val="clear" w:pos="708"/>
          <w:tab w:val="left" w:pos="1134" w:leader="none"/>
          <w:tab w:val="left" w:pos="1429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Arial"/>
          <w:sz w:val="28"/>
          <w:szCs w:val="28"/>
          <w:lang w:eastAsia="ru-RU"/>
        </w:rPr>
      </w:pPr>
      <w:r>
        <w:rPr>
          <w:rFonts w:eastAsia="Symbol" w:cs="Arial" w:ascii="Liberation Serif" w:hAnsi="Liberation Serif"/>
          <w:sz w:val="28"/>
          <w:szCs w:val="28"/>
          <w:lang w:eastAsia="ru-RU"/>
        </w:rPr>
        <w:t xml:space="preserve">- </w:t>
      </w:r>
      <w:r>
        <w:rPr>
          <w:rFonts w:eastAsia="Times New Roman" w:cs="Arial" w:ascii="Liberation Serif" w:hAnsi="Liberation Serif"/>
          <w:sz w:val="28"/>
          <w:szCs w:val="28"/>
          <w:lang w:eastAsia="ru-RU"/>
        </w:rPr>
        <w:t>повышение архитектурно-эстетических качеств застройки населённых пунктов, применение малоэтажных домов более разнообразной типологии, включая усадебную и коттеджную застройки.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bookmarkStart w:id="1" w:name="P416"/>
      <w:bookmarkEnd w:id="1"/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Раздел 2. Цели, задачи и целевые показатели реализации муниципальной программы «Реализация мероприятий в области градостроительной деятельности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Цели, задачи и целевые показатели реализации муниципальной программы приведены в приложении № 1 к муниципальной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Методика расчета значений целевых показателей в рамках муниципальной программы приведена в приложении № 3 к муниципальной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Раздел 3. План мероприятий по выполнению муниципальной программы «Реализация мероприятий в области градостроительной деятельности в городском округе Заречный до 2026 года»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1. Для достижения целей и выполнения поставленных задач разработан план мероприятий для бюджетных инвестиций, которые приведены в </w:t>
      </w:r>
      <w:hyperlink w:anchor="P2452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приложении № 2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 муниципальной программе.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bookmarkStart w:id="2" w:name="P186"/>
      <w:bookmarkEnd w:id="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Администрация городского округа Заречный как ответственный исполнитель муниципальной программы осуществляет следующие функции: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осуществляет полномочия главного распорядителя средств местного бюджета, предусмотренных на реализацию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осуществляет взаимодействие с Министерством строительства и развития инфраструктуры 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муниципальной программы в соответствии с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5) осуществляет мониторинг реализации мероприятий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6) осуществляет при необходимости корректировку муниципальной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Исполнителем муниципальной программы является отдел архитектуры и градостроительства администрации городского округа Заречный, которое: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формирует техническое задание на выполнение работ, оказание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4) обеспечивает выполнение мероприятий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7) при необходимости готовит в установленном порядке предложения по уточнению перечня мероприятий муниципальной программы на очередной финансовый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8) осуществляет ведение отчетности 2 раза в год о реализации мероприятий и достижения целевых показателей муниципальной программы по установленным формам;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9) во взаимодействии с ответственным исполнителем муниципальной программы осуществляет контроль и мониторинг реализации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4. Исполнителем Программы является Муниципальное казенное учреждение городского округа Заречный «Управление муниципального заказа» (далее – МКУ ГО Заречный «УМЗ»), которое: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обеспечивает выполнение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Программы.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8" w:right="566" w:gutter="0" w:header="708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 Финансовый контроль за использованием бюджетных средств при реализации муниципальной программы осуществляет Финансовое управление городского округа Заречный и Контрольно-счетная палата городского округа Заречный.</w:t>
      </w:r>
    </w:p>
    <w:p>
      <w:pPr>
        <w:pStyle w:val="Normal"/>
        <w:spacing w:lineRule="auto" w:line="240" w:before="0" w:after="0"/>
        <w:ind w:left="9923" w:right="973" w:hanging="0"/>
        <w:contextualSpacing/>
        <w:rPr>
          <w:rFonts w:ascii="Liberation Serif" w:hAnsi="Liberation Serif" w:eastAsia="Calibri" w:cs="Arial"/>
          <w:sz w:val="24"/>
          <w:szCs w:val="24"/>
        </w:rPr>
      </w:pPr>
      <w:r>
        <w:rPr>
          <w:rFonts w:eastAsia="Calibri" w:cs="Arial" w:ascii="Liberation Serif" w:hAnsi="Liberation Serif"/>
          <w:sz w:val="24"/>
          <w:szCs w:val="24"/>
        </w:rPr>
        <w:t xml:space="preserve">Приложение № 1 </w:t>
      </w:r>
    </w:p>
    <w:p>
      <w:pPr>
        <w:pStyle w:val="Normal"/>
        <w:spacing w:before="0" w:after="0"/>
        <w:ind w:left="9923" w:hanging="0"/>
        <w:rPr>
          <w:rFonts w:ascii="Liberation Serif" w:hAnsi="Liberation Serif" w:eastAsia="Calibri" w:cs="Arial"/>
          <w:sz w:val="24"/>
          <w:szCs w:val="24"/>
        </w:rPr>
      </w:pPr>
      <w:r>
        <w:rPr>
          <w:rFonts w:eastAsia="Calibri" w:cs="Arial" w:ascii="Liberation Serif" w:hAnsi="Liberation Serif"/>
          <w:sz w:val="24"/>
          <w:szCs w:val="24"/>
        </w:rPr>
        <w:t xml:space="preserve">к муниципальной программе «Реализация мероприятий в области градостроительной деятельности в городском округе Заречный </w:t>
      </w:r>
    </w:p>
    <w:p>
      <w:pPr>
        <w:pStyle w:val="Normal"/>
        <w:spacing w:before="0" w:after="0"/>
        <w:ind w:left="9923" w:hanging="0"/>
        <w:rPr>
          <w:rFonts w:ascii="Liberation Serif" w:hAnsi="Liberation Serif" w:eastAsia="Calibri" w:cs="Arial"/>
          <w:sz w:val="24"/>
          <w:szCs w:val="24"/>
        </w:rPr>
      </w:pPr>
      <w:r>
        <w:rPr>
          <w:rFonts w:eastAsia="Calibri" w:cs="Arial" w:ascii="Liberation Serif" w:hAnsi="Liberation Serif"/>
          <w:sz w:val="24"/>
          <w:szCs w:val="24"/>
        </w:rPr>
        <w:t>до 2026 года»</w:t>
      </w:r>
    </w:p>
    <w:p>
      <w:pPr>
        <w:pStyle w:val="Normal"/>
        <w:spacing w:before="0" w:after="0"/>
        <w:ind w:left="9923" w:hanging="0"/>
        <w:rPr>
          <w:rFonts w:ascii="Liberation Serif" w:hAnsi="Liberation Serif" w:eastAsia="Calibri" w:cs="Arial"/>
          <w:sz w:val="24"/>
          <w:szCs w:val="24"/>
        </w:rPr>
      </w:pPr>
      <w:r>
        <w:rPr>
          <w:rFonts w:eastAsia="Calibri" w:cs="Arial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9923" w:hanging="0"/>
        <w:rPr>
          <w:rFonts w:ascii="Liberation Serif" w:hAnsi="Liberation Serif" w:eastAsia="Calibri" w:cs="Arial"/>
          <w:sz w:val="24"/>
          <w:szCs w:val="24"/>
        </w:rPr>
      </w:pPr>
      <w:r>
        <w:rPr>
          <w:rFonts w:eastAsia="Calibri" w:cs="Arial"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Liberation Serif" w:hAnsi="Liberation Serif" w:eastAsia="Calibri" w:cs="Times New Roman"/>
          <w:b/>
          <w:bCs/>
          <w:sz w:val="24"/>
          <w:szCs w:val="24"/>
        </w:rPr>
      </w:pPr>
      <w:r>
        <w:rPr>
          <w:rFonts w:eastAsia="Calibri" w:cs="Times New Roman" w:ascii="Liberation Serif" w:hAnsi="Liberation Serif"/>
          <w:b/>
          <w:bCs/>
          <w:sz w:val="24"/>
          <w:szCs w:val="24"/>
        </w:rPr>
        <w:t>ЦЕЛИ, ЗАДАЧИ И ЦЕЛЕВЫЕ ПОКАЗАТЕЛИ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eastAsia="Calibri" w:cs="Times New Roman"/>
          <w:b/>
          <w:bCs/>
          <w:sz w:val="24"/>
          <w:szCs w:val="24"/>
        </w:rPr>
      </w:pPr>
      <w:r>
        <w:rPr>
          <w:rFonts w:eastAsia="Calibri" w:cs="Times New Roman" w:ascii="Liberation Serif" w:hAnsi="Liberation Serif"/>
          <w:b/>
          <w:bCs/>
          <w:sz w:val="24"/>
          <w:szCs w:val="24"/>
        </w:rPr>
        <w:t>реализации муниципальной программы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eastAsia="Calibri" w:cs="Times New Roman"/>
          <w:b/>
          <w:sz w:val="24"/>
          <w:szCs w:val="24"/>
        </w:rPr>
      </w:pPr>
      <w:r>
        <w:rPr>
          <w:rFonts w:eastAsia="Calibri" w:cs="Times New Roman" w:ascii="Liberation Serif" w:hAnsi="Liberation Serif"/>
          <w:b/>
          <w:sz w:val="24"/>
          <w:szCs w:val="24"/>
        </w:rPr>
        <w:t>«Реализация мероприятий в области градостроительной деятельности в городском округе Заречный до 2026 года»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36"/>
        <w:gridCol w:w="2679"/>
        <w:gridCol w:w="1313"/>
        <w:gridCol w:w="1175"/>
        <w:gridCol w:w="1173"/>
        <w:gridCol w:w="1175"/>
        <w:gridCol w:w="1160"/>
        <w:gridCol w:w="1173"/>
        <w:gridCol w:w="1175"/>
        <w:gridCol w:w="1177"/>
        <w:gridCol w:w="1929"/>
      </w:tblGrid>
      <w:tr>
        <w:trPr>
          <w:trHeight w:val="390" w:hRule="atLeast"/>
          <w:cantSplit w:val="true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40"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36"/>
        <w:gridCol w:w="2679"/>
        <w:gridCol w:w="1313"/>
        <w:gridCol w:w="1175"/>
        <w:gridCol w:w="1173"/>
        <w:gridCol w:w="1175"/>
        <w:gridCol w:w="1160"/>
        <w:gridCol w:w="1173"/>
        <w:gridCol w:w="1175"/>
        <w:gridCol w:w="1177"/>
        <w:gridCol w:w="1929"/>
      </w:tblGrid>
      <w:tr>
        <w:trPr>
          <w:tblHeader w:val="true"/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11</w:t>
            </w:r>
          </w:p>
        </w:tc>
      </w:tr>
      <w:tr>
        <w:trPr>
          <w:trHeight w:val="517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1.1.</w:t>
            </w:r>
          </w:p>
        </w:tc>
        <w:tc>
          <w:tcPr>
            <w:tcW w:w="14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bCs/>
                <w:sz w:val="20"/>
                <w:szCs w:val="20"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14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>
        <w:trPr>
          <w:trHeight w:val="229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14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>
        <w:trPr>
          <w:trHeight w:val="229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га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>
        <w:trPr>
          <w:trHeight w:val="229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1.1.2.2.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1.1.3.</w:t>
            </w:r>
          </w:p>
        </w:tc>
        <w:tc>
          <w:tcPr>
            <w:tcW w:w="14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>
        <w:trPr>
          <w:trHeight w:val="229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1.1.3.1.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1.1.4.</w:t>
            </w:r>
          </w:p>
        </w:tc>
        <w:tc>
          <w:tcPr>
            <w:tcW w:w="14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>
        <w:trPr>
          <w:trHeight w:val="1785" w:hRule="atLeast"/>
          <w:cantSplit w:val="true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1.1.4.1.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кв. м.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30528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30622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33393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35304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37022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37022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>37022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</w:rPr>
              <w:t xml:space="preserve">Форма федерального статистического наблюдения № ИЖС "Сведения о построенных населением жилых домах" </w:t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418" w:right="567" w:gutter="0" w:header="709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4"/>
        <w:gridCol w:w="237"/>
        <w:gridCol w:w="236"/>
        <w:gridCol w:w="236"/>
        <w:gridCol w:w="236"/>
        <w:gridCol w:w="237"/>
        <w:gridCol w:w="13325"/>
      </w:tblGrid>
      <w:tr>
        <w:trPr>
          <w:trHeight w:val="1399" w:hRule="atLeast"/>
        </w:trPr>
        <w:tc>
          <w:tcPr>
            <w:tcW w:w="234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contextualSpacing/>
              <w:rPr>
                <w:rFonts w:ascii="Liberation Serif" w:hAnsi="Liberation Serif" w:eastAsia="Calibri" w:cs="Times New Roman"/>
                <w:sz w:val="2"/>
              </w:rPr>
            </w:pPr>
            <w:r>
              <w:rPr>
                <w:rFonts w:eastAsia="Calibri" w:cs="Times New Roman" w:ascii="Liberation Serif" w:hAnsi="Liberation Serif"/>
                <w:sz w:val="2"/>
              </w:rPr>
            </w:r>
          </w:p>
        </w:tc>
        <w:tc>
          <w:tcPr>
            <w:tcW w:w="237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Liberation Serif" w:hAnsi="Liberation Serif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36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Liberation Serif" w:hAnsi="Liberation Serif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36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Liberation Serif" w:hAnsi="Liberation Serif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36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Liberation Serif" w:hAnsi="Liberation Serif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37" w:type="dxa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Liberation Serif" w:hAnsi="Liberation Serif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133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ind w:left="8545" w:hanging="0"/>
              <w:contextualSpacing/>
              <w:rPr>
                <w:rFonts w:ascii="Liberation Serif" w:hAnsi="Liberation Serif" w:eastAsia="Calibri" w:cs="Arial"/>
                <w:sz w:val="24"/>
                <w:szCs w:val="24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</w:rPr>
              <w:t xml:space="preserve">Приложение № 2 </w:t>
            </w:r>
          </w:p>
          <w:p>
            <w:pPr>
              <w:pStyle w:val="Normal"/>
              <w:widowControl w:val="false"/>
              <w:spacing w:lineRule="auto" w:line="252" w:before="0" w:after="160"/>
              <w:ind w:left="8545" w:hanging="0"/>
              <w:contextualSpacing/>
              <w:rPr>
                <w:rFonts w:ascii="Liberation Serif" w:hAnsi="Liberation Serif" w:eastAsia="Calibri" w:cs="Arial"/>
                <w:sz w:val="24"/>
                <w:szCs w:val="24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</w:rPr>
              <w:t xml:space="preserve">к муниципальной программе «Реализация мероприятий в области градостроительной деятельности в городском округе Заречный </w:t>
            </w:r>
          </w:p>
          <w:p>
            <w:pPr>
              <w:pStyle w:val="Normal"/>
              <w:widowControl w:val="false"/>
              <w:spacing w:lineRule="auto" w:line="252" w:before="0" w:after="160"/>
              <w:ind w:left="8545" w:hanging="0"/>
              <w:contextualSpacing/>
              <w:rPr>
                <w:rFonts w:ascii="Liberation Serif" w:hAnsi="Liberation Serif" w:eastAsia="Calibri" w:cs="Arial"/>
                <w:sz w:val="20"/>
                <w:szCs w:val="20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</w:rPr>
              <w:t>до 2026 года»</w:t>
            </w:r>
          </w:p>
        </w:tc>
      </w:tr>
      <w:tr>
        <w:trPr>
          <w:trHeight w:val="510" w:hRule="atLeast"/>
        </w:trPr>
        <w:tc>
          <w:tcPr>
            <w:tcW w:w="14741" w:type="dxa"/>
            <w:gridSpan w:val="7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contextualSpacing/>
              <w:jc w:val="center"/>
              <w:rPr>
                <w:rFonts w:ascii="Liberation Serif" w:hAnsi="Liberation Serif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4741" w:type="dxa"/>
            <w:gridSpan w:val="7"/>
            <w:tcBorders/>
            <w:vAlign w:val="bottom"/>
          </w:tcPr>
          <w:p>
            <w:pPr>
              <w:pStyle w:val="Normal"/>
              <w:widowControl w:val="false"/>
              <w:spacing w:lineRule="auto" w:line="252" w:before="0" w:after="160"/>
              <w:contextualSpacing/>
              <w:jc w:val="center"/>
              <w:rPr>
                <w:rFonts w:ascii="Liberation Serif" w:hAnsi="Liberation Serif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741" w:type="dxa"/>
            <w:gridSpan w:val="7"/>
            <w:tcBorders/>
          </w:tcPr>
          <w:p>
            <w:pPr>
              <w:pStyle w:val="Normal"/>
              <w:widowControl w:val="false"/>
              <w:spacing w:lineRule="auto" w:line="252" w:before="0" w:after="160"/>
              <w:contextualSpacing/>
              <w:jc w:val="center"/>
              <w:rPr>
                <w:rFonts w:ascii="Liberation Serif" w:hAnsi="Liberation Serif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/>
                <w:bCs/>
                <w:sz w:val="24"/>
                <w:szCs w:val="24"/>
              </w:rPr>
              <w:t>«Реализация мероприятий в области градостроительной деятельности в городском округе Заречный до 2026 года»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40" w:before="0" w:after="0"/>
        <w:contextualSpacing/>
        <w:rPr>
          <w:rFonts w:ascii="Liberation Serif" w:hAnsi="Liberation Serif" w:eastAsia="Calibri" w:cs="Times New Roman"/>
          <w:sz w:val="2"/>
        </w:rPr>
      </w:pPr>
      <w:r>
        <w:rPr>
          <w:rFonts w:eastAsia="Calibri" w:cs="Times New Roman" w:ascii="Liberation Serif" w:hAnsi="Liberation Serif"/>
          <w:sz w:val="2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Times New Roman" w:cs="Liberation Serif"/>
          <w:sz w:val="2"/>
          <w:szCs w:val="2"/>
          <w:lang w:eastAsia="ru-RU"/>
        </w:rPr>
      </w:pPr>
      <w:r>
        <w:rPr>
          <w:rFonts w:eastAsia="Times New Roman" w:cs="Liberation Serif" w:ascii="Liberation Serif" w:hAnsi="Liberation Serif"/>
          <w:sz w:val="2"/>
          <w:szCs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Calibri" w:cs="Times New Roman"/>
          <w:sz w:val="2"/>
          <w:szCs w:val="2"/>
        </w:rPr>
      </w:pPr>
      <w:r>
        <w:rPr>
          <w:rFonts w:eastAsia="Calibri" w:cs="Times New Roman" w:ascii="Liberation Serif" w:hAnsi="Liberation Serif"/>
          <w:sz w:val="2"/>
          <w:szCs w:val="2"/>
        </w:rPr>
      </w:r>
    </w:p>
    <w:tbl>
      <w:tblPr>
        <w:tblW w:w="1477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56"/>
        <w:gridCol w:w="2340"/>
        <w:gridCol w:w="1304"/>
        <w:gridCol w:w="1304"/>
        <w:gridCol w:w="1303"/>
        <w:gridCol w:w="1304"/>
        <w:gridCol w:w="1229"/>
        <w:gridCol w:w="1232"/>
        <w:gridCol w:w="1227"/>
        <w:gridCol w:w="1231"/>
        <w:gridCol w:w="1539"/>
      </w:tblGrid>
      <w:tr>
        <w:trPr>
          <w:trHeight w:val="255" w:hRule="atLeast"/>
          <w:cantSplit w:val="true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Calibri" w:cs="Times New Roman"/>
          <w:sz w:val="2"/>
          <w:szCs w:val="2"/>
        </w:rPr>
      </w:pPr>
      <w:r>
        <w:rPr>
          <w:rFonts w:eastAsia="Calibri" w:cs="Times New Roman" w:ascii="Liberation Serif" w:hAnsi="Liberation Serif"/>
          <w:sz w:val="2"/>
          <w:szCs w:val="2"/>
        </w:rPr>
      </w:r>
    </w:p>
    <w:tbl>
      <w:tblPr>
        <w:tblW w:w="1477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56"/>
        <w:gridCol w:w="2340"/>
        <w:gridCol w:w="1304"/>
        <w:gridCol w:w="1304"/>
        <w:gridCol w:w="1303"/>
        <w:gridCol w:w="1304"/>
        <w:gridCol w:w="1229"/>
        <w:gridCol w:w="1232"/>
        <w:gridCol w:w="1227"/>
        <w:gridCol w:w="1231"/>
        <w:gridCol w:w="1539"/>
      </w:tblGrid>
      <w:tr>
        <w:trPr>
          <w:tblHeader w:val="true"/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" w:hanging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1020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2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20 713 237,91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1 150 800,00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846 929,86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7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2 605 000,00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1.1.2.1., 1.1.2.2., 1.1.3.1., 1.1.4.1.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2 605 000,00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Мероприятие 1.2. Приобретение оборудования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450 800,00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1.1.1.1., 1.1.2.2., 1.1.3.1., 1.1.4.1.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96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17 657 437,91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846 929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1.1.1.1., 1.1.2.2., 1.1.3.1., 1.1.4.1.</w:t>
            </w:r>
          </w:p>
        </w:tc>
      </w:tr>
      <w:tr>
        <w:trPr>
          <w:trHeight w:val="255" w:hRule="atLeast"/>
          <w:cantSplit w:val="true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4 664 324,05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1 141 730,05</w:t>
            </w:r>
            <w:r>
              <w:rPr>
                <w:rFonts w:eastAsia="Calibri" w:cs="Liberation Serif" w:ascii="Liberation Serif" w:hAnsi="Liberation Serif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  <w:lang w:eastAsia="ru-RU"/>
              </w:rPr>
              <w:t>846 929</w:t>
            </w: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3 106 139,00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0"/>
                <w:szCs w:val="20"/>
                <w:lang w:eastAsia="ru-RU"/>
              </w:rPr>
              <w:t>11 156 139,00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iberation Serif"/>
                <w:sz w:val="20"/>
                <w:szCs w:val="20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Calibri" w:cs="Times New Roman"/>
          <w:sz w:val="20"/>
          <w:szCs w:val="20"/>
        </w:rPr>
      </w:pPr>
      <w:r>
        <w:rPr>
          <w:rFonts w:eastAsia="Calibri" w:cs="Times New Roman" w:ascii="Liberation Serif" w:hAnsi="Liberation Serif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Calibri" w:cs="Times New Roman"/>
          <w:sz w:val="20"/>
          <w:szCs w:val="20"/>
        </w:rPr>
      </w:pPr>
      <w:r>
        <w:rPr>
          <w:rFonts w:eastAsia="Calibri" w:cs="Times New Roman" w:ascii="Liberation Serif" w:hAnsi="Liberation Serif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Calibri" w:cs="Times New Roman"/>
          <w:sz w:val="20"/>
          <w:szCs w:val="20"/>
        </w:rPr>
      </w:pPr>
      <w:r>
        <w:rPr>
          <w:rFonts w:eastAsia="Calibri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76" w:before="0" w:after="0"/>
        <w:ind w:left="8931" w:hanging="0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240" w:before="0" w:after="0"/>
        <w:ind w:left="9356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9356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ind w:left="9356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«Реализация мероприятий в области градостроительной деятельности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Методика расчета значений целевых показателей в рамках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«Реализация мероприятий в области градостроительной деятельности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</w:r>
    </w:p>
    <w:tbl>
      <w:tblPr>
        <w:tblStyle w:val="a7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3"/>
        <w:gridCol w:w="1915"/>
        <w:gridCol w:w="5531"/>
        <w:gridCol w:w="6519"/>
      </w:tblGrid>
      <w:tr>
        <w:trPr>
          <w:tblHeader w:val="true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строки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цели, задачи, целевого показателя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Наименование цели (целей) и задач, целевых показателей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Методика расчета показателя</w:t>
            </w:r>
          </w:p>
        </w:tc>
      </w:tr>
      <w:tr>
        <w:trPr>
          <w:tblHeader w:val="true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2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3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2.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1.1.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3.</w:t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1.1.1.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Фактическое значение показателя определяются как отношение числа территорий городского округа Заречный, обеспеченных документами территориального планирования и градостроительного зонирования на число территорий городского округа Заречный, не обеспеченных документами территориального планирования и градостроительного зонирования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4.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1.2.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Обеспечение городского округа Заречный документацией по планировке территории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5.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1.2.1.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Фактическое значение показателя определяются как отношение числа территорий городского округа Заречный, обеспеченных </w:t>
            </w: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документацией по планировке и межеванию территорий</w:t>
            </w:r>
            <w:r>
              <w:rPr>
                <w:rFonts w:eastAsia="Calibri" w:cs="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на число территорий городского округа Заречный, не обеспеченных документацией по планировке и межеванию территорий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6.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1.2.2.</w:t>
            </w:r>
          </w:p>
        </w:tc>
        <w:tc>
          <w:tcPr>
            <w:tcW w:w="5531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 xml:space="preserve">Фактическое значение показателя определяются как отношение площади городского округа Заречный обеспеченной </w:t>
            </w: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>цифровыми топографическими картами на площадь городского округа Заречный не обеспеченную цифровыми топографическими картами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7.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1.3.</w:t>
            </w:r>
          </w:p>
        </w:tc>
        <w:tc>
          <w:tcPr>
            <w:tcW w:w="12050" w:type="dxa"/>
            <w:gridSpan w:val="2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2"/>
                <w:szCs w:val="20"/>
                <w:lang w:val="ru-RU" w:eastAsia="en-US" w:bidi="ar-SA"/>
              </w:rPr>
              <w:t xml:space="preserve">Развитие информационной системы обеспечения градостроительной деятельности  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8.</w:t>
            </w:r>
          </w:p>
        </w:tc>
        <w:tc>
          <w:tcPr>
            <w:tcW w:w="1915" w:type="dxa"/>
            <w:tcBorders>
              <w:right w:val="nil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1.3.1.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Фактическое значение показателя определяются как отношение количества муниципальных услуг, предоставляемых в электронном виде на количество муниципальных услуг, предоставляемых администрацией городского округа Заречный в области градостроительства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9.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1.4.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Увеличение объемов вводимого жилья на территории городского округа Заречный</w:t>
            </w:r>
          </w:p>
        </w:tc>
      </w:tr>
      <w:tr>
        <w:trPr/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10.</w:t>
            </w:r>
          </w:p>
        </w:tc>
        <w:tc>
          <w:tcPr>
            <w:tcW w:w="19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1.4.1.</w:t>
            </w:r>
          </w:p>
        </w:tc>
        <w:tc>
          <w:tcPr>
            <w:tcW w:w="5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Объем ввода жилья за отчетный период</w:t>
            </w:r>
          </w:p>
        </w:tc>
        <w:tc>
          <w:tcPr>
            <w:tcW w:w="65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eastAsia="Calibri" w:cs="" w:ascii="Liberation Serif" w:hAnsi="Liberation Serif"/>
                <w:kern w:val="0"/>
                <w:sz w:val="22"/>
                <w:szCs w:val="26"/>
                <w:lang w:val="ru-RU" w:eastAsia="en-US" w:bidi="ar-SA"/>
              </w:rPr>
              <w:t>Исходные данные для расчета показателя: сведения формы федерального статистического наблюдения № ИЖС «Сведения о построенных населением жилых домах»</w:t>
            </w:r>
          </w:p>
        </w:tc>
      </w:tr>
    </w:tbl>
    <w:p>
      <w:pPr>
        <w:pStyle w:val="Normal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9"/>
      <w:headerReference w:type="first" r:id="rId10"/>
      <w:type w:val="nextPage"/>
      <w:pgSz w:orient="landscape" w:w="16838" w:h="11906"/>
      <w:pgMar w:left="1418" w:right="567" w:gutter="0" w:header="709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05544059"/>
    </w:sdtPr>
    <w:sdtContent>
      <w:p>
        <w:pPr>
          <w:pStyle w:val="Style24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Liberation Serif" w:hAnsi="Liberation Serif"/>
          </w:rPr>
          <w:instrText xml:space="preserve"> PAGE </w:instrText>
        </w:r>
        <w:r>
          <w:rPr>
            <w:sz w:val="28"/>
            <w:szCs w:val="28"/>
            <w:rFonts w:ascii="Liberation Serif" w:hAnsi="Liberation Serif"/>
          </w:rPr>
          <w:fldChar w:fldCharType="separate"/>
        </w:r>
        <w:r>
          <w:rPr>
            <w:sz w:val="28"/>
            <w:szCs w:val="28"/>
            <w:rFonts w:ascii="Liberation Serif" w:hAnsi="Liberation Serif"/>
          </w:rPr>
          <w:t>5</w:t>
        </w:r>
        <w:r>
          <w:rPr>
            <w:sz w:val="28"/>
            <w:szCs w:val="28"/>
            <w:rFonts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814367629"/>
    </w:sdtPr>
    <w:sdtContent>
      <w:p>
        <w:pPr>
          <w:pStyle w:val="Style24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Liberation Serif" w:hAnsi="Liberation Serif"/>
          </w:rPr>
          <w:instrText xml:space="preserve"> PAGE </w:instrText>
        </w:r>
        <w:r>
          <w:rPr>
            <w:sz w:val="28"/>
            <w:szCs w:val="28"/>
            <w:rFonts w:ascii="Liberation Serif" w:hAnsi="Liberation Serif"/>
          </w:rPr>
          <w:fldChar w:fldCharType="separate"/>
        </w:r>
        <w:r>
          <w:rPr>
            <w:sz w:val="28"/>
            <w:szCs w:val="28"/>
            <w:rFonts w:ascii="Liberation Serif" w:hAnsi="Liberation Serif"/>
          </w:rPr>
          <w:t>7</w:t>
        </w:r>
        <w:r>
          <w:rPr>
            <w:sz w:val="28"/>
            <w:szCs w:val="28"/>
            <w:rFonts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90772290"/>
    </w:sdtPr>
    <w:sdtContent>
      <w:p>
        <w:pPr>
          <w:pStyle w:val="Style24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Liberation Serif" w:hAnsi="Liberation Serif"/>
          </w:rPr>
          <w:instrText xml:space="preserve"> PAGE </w:instrText>
        </w:r>
        <w:r>
          <w:rPr>
            <w:sz w:val="28"/>
            <w:szCs w:val="28"/>
            <w:rFonts w:ascii="Liberation Serif" w:hAnsi="Liberation Serif"/>
          </w:rPr>
          <w:fldChar w:fldCharType="separate"/>
        </w:r>
        <w:r>
          <w:rPr>
            <w:sz w:val="28"/>
            <w:szCs w:val="28"/>
            <w:rFonts w:ascii="Liberation Serif" w:hAnsi="Liberation Serif"/>
          </w:rPr>
          <w:t>10</w:t>
        </w:r>
        <w:r>
          <w:rPr>
            <w:sz w:val="28"/>
            <w:szCs w:val="28"/>
            <w:rFonts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78794148"/>
    </w:sdtPr>
    <w:sdtContent>
      <w:p>
        <w:pPr>
          <w:pStyle w:val="Style24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Liberation Serif" w:hAnsi="Liberation Serif"/>
          </w:rPr>
          <w:instrText xml:space="preserve"> PAGE </w:instrText>
        </w:r>
        <w:r>
          <w:rPr>
            <w:sz w:val="28"/>
            <w:szCs w:val="28"/>
            <w:rFonts w:ascii="Liberation Serif" w:hAnsi="Liberation Serif"/>
          </w:rPr>
          <w:fldChar w:fldCharType="separate"/>
        </w:r>
        <w:r>
          <w:rPr>
            <w:sz w:val="28"/>
            <w:szCs w:val="28"/>
            <w:rFonts w:ascii="Liberation Serif" w:hAnsi="Liberation Serif"/>
          </w:rPr>
          <w:t>14</w:t>
        </w:r>
        <w:r>
          <w:rPr>
            <w:sz w:val="28"/>
            <w:szCs w:val="28"/>
            <w:rFonts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f55404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f55404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55404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030f5"/>
    <w:rPr/>
  </w:style>
  <w:style w:type="character" w:styleId="Style17" w:customStyle="1">
    <w:name w:val="Нижний колонтитул Знак"/>
    <w:basedOn w:val="DefaultParagraphFont"/>
    <w:uiPriority w:val="99"/>
    <w:qFormat/>
    <w:rsid w:val="002030f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Xl66" w:customStyle="1">
    <w:name w:val="xl66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7" w:customStyle="1">
    <w:name w:val="xl67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8" w:customStyle="1">
    <w:name w:val="xl68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9" w:customStyle="1">
    <w:name w:val="xl69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2" w:customStyle="1">
    <w:name w:val="xl72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5" w:customStyle="1">
    <w:name w:val="xl75"/>
    <w:basedOn w:val="Normal"/>
    <w:qFormat/>
    <w:rsid w:val="00f55404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6" w:customStyle="1">
    <w:name w:val="xl76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f554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f554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f55404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55404"/>
    <w:pPr>
      <w:spacing w:lineRule="auto" w:line="240" w:before="0" w:after="0"/>
      <w:contextualSpacing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2030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unhideWhenUsed/>
    <w:rsid w:val="002030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f5540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e4e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1ADBD9AB</Template>
  <TotalTime>20</TotalTime>
  <Application>LibreOffice/7.5.7.1$Linux_X86_64 LibreOffice_project/50$Build-1</Application>
  <AppVersion>15.0000</AppVersion>
  <Pages>14</Pages>
  <Words>3393</Words>
  <Characters>19342</Characters>
  <CharactersWithSpaces>22690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2022-12-14T06:23:00Z</dcterms:created>
  <dc:creator>Ivaschenko</dc:creator>
  <dc:description/>
  <dc:language>ru-RU</dc:language>
  <cp:lastModifiedBy/>
  <cp:lastPrinted>2019-11-18T10:36:00Z</cp:lastPrinted>
  <dcterms:modified xsi:type="dcterms:W3CDTF">2023-12-19T08:45:53Z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